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4"/>
        <w:gridCol w:w="4866"/>
      </w:tblGrid>
      <w:tr w:rsidR="00172734" w:rsidRPr="0090720C" w14:paraId="6778B98F" w14:textId="77777777" w:rsidTr="00172734">
        <w:trPr>
          <w:trHeight w:val="2336"/>
        </w:trPr>
        <w:tc>
          <w:tcPr>
            <w:tcW w:w="4674" w:type="dxa"/>
          </w:tcPr>
          <w:p w14:paraId="6373DFB8" w14:textId="77777777" w:rsidR="00172734" w:rsidRPr="00886B23" w:rsidRDefault="00172734" w:rsidP="00172734">
            <w:pPr>
              <w:pStyle w:val="1"/>
              <w:rPr>
                <w:rFonts w:eastAsia="Batang"/>
                <w:sz w:val="28"/>
                <w:lang w:val="en-US"/>
              </w:rPr>
            </w:pPr>
          </w:p>
        </w:tc>
        <w:tc>
          <w:tcPr>
            <w:tcW w:w="4866" w:type="dxa"/>
            <w:hideMark/>
          </w:tcPr>
          <w:p w14:paraId="6F5A8ABB" w14:textId="77777777" w:rsidR="00172734" w:rsidRPr="0090720C" w:rsidRDefault="00172734" w:rsidP="00172734">
            <w:pPr>
              <w:pStyle w:val="1"/>
              <w:ind w:left="258"/>
              <w:rPr>
                <w:sz w:val="28"/>
                <w:szCs w:val="28"/>
              </w:rPr>
            </w:pPr>
            <w:r w:rsidRPr="0090720C">
              <w:rPr>
                <w:sz w:val="28"/>
                <w:szCs w:val="28"/>
              </w:rPr>
              <w:t>УТВЕРЖДЕНА</w:t>
            </w:r>
          </w:p>
          <w:p w14:paraId="7F890F8E" w14:textId="77777777" w:rsidR="00172734" w:rsidRPr="0090720C" w:rsidRDefault="00172734" w:rsidP="00172734">
            <w:pPr>
              <w:ind w:left="258"/>
              <w:rPr>
                <w:sz w:val="28"/>
                <w:szCs w:val="28"/>
              </w:rPr>
            </w:pPr>
            <w:r w:rsidRPr="0090720C">
              <w:rPr>
                <w:sz w:val="28"/>
                <w:szCs w:val="28"/>
              </w:rPr>
              <w:t xml:space="preserve">Приказом председателя </w:t>
            </w:r>
          </w:p>
          <w:p w14:paraId="4826C2E1" w14:textId="77777777" w:rsidR="00172734" w:rsidRPr="0090720C" w:rsidRDefault="00172734" w:rsidP="00172734">
            <w:pPr>
              <w:ind w:left="258"/>
              <w:rPr>
                <w:sz w:val="28"/>
                <w:szCs w:val="28"/>
              </w:rPr>
            </w:pPr>
            <w:r w:rsidRPr="0090720C">
              <w:rPr>
                <w:sz w:val="28"/>
                <w:szCs w:val="28"/>
              </w:rPr>
              <w:t xml:space="preserve">Комитета фармации </w:t>
            </w:r>
          </w:p>
          <w:p w14:paraId="120F1B2A" w14:textId="77777777" w:rsidR="00172734" w:rsidRPr="0090720C" w:rsidRDefault="00172734" w:rsidP="00172734">
            <w:pPr>
              <w:pStyle w:val="3"/>
              <w:ind w:left="258"/>
              <w:rPr>
                <w:sz w:val="28"/>
                <w:szCs w:val="28"/>
              </w:rPr>
            </w:pPr>
            <w:r w:rsidRPr="0090720C">
              <w:rPr>
                <w:b w:val="0"/>
                <w:sz w:val="28"/>
                <w:szCs w:val="28"/>
              </w:rPr>
              <w:t xml:space="preserve">Министерства здравоохранения </w:t>
            </w:r>
          </w:p>
          <w:p w14:paraId="6891E389" w14:textId="77777777" w:rsidR="00172734" w:rsidRPr="0090720C" w:rsidRDefault="00172734" w:rsidP="00172734">
            <w:pPr>
              <w:pStyle w:val="4"/>
              <w:ind w:left="258"/>
              <w:rPr>
                <w:szCs w:val="28"/>
                <w:lang w:val="ru-RU"/>
              </w:rPr>
            </w:pPr>
            <w:r w:rsidRPr="0090720C">
              <w:rPr>
                <w:szCs w:val="28"/>
                <w:lang w:val="ru-RU"/>
              </w:rPr>
              <w:t>Республики Казахстан</w:t>
            </w:r>
          </w:p>
          <w:p w14:paraId="3FD2F156" w14:textId="77777777" w:rsidR="00172734" w:rsidRPr="00364CEE" w:rsidRDefault="00172734" w:rsidP="00172734">
            <w:pPr>
              <w:ind w:left="258"/>
              <w:rPr>
                <w:sz w:val="28"/>
                <w:szCs w:val="28"/>
              </w:rPr>
            </w:pPr>
            <w:r w:rsidRPr="0090720C">
              <w:rPr>
                <w:sz w:val="28"/>
              </w:rPr>
              <w:t xml:space="preserve">от </w:t>
            </w:r>
            <w:r w:rsidRPr="00364CEE">
              <w:rPr>
                <w:sz w:val="28"/>
                <w:szCs w:val="28"/>
              </w:rPr>
              <w:t>«</w:t>
            </w:r>
            <w:r w:rsidR="00364CEE" w:rsidRPr="00364CEE">
              <w:rPr>
                <w:sz w:val="28"/>
                <w:szCs w:val="28"/>
              </w:rPr>
              <w:t>29</w:t>
            </w:r>
            <w:r w:rsidRPr="00364CEE">
              <w:rPr>
                <w:sz w:val="28"/>
                <w:szCs w:val="28"/>
              </w:rPr>
              <w:t>»</w:t>
            </w:r>
            <w:r w:rsidR="00364CEE" w:rsidRPr="00364CEE">
              <w:rPr>
                <w:sz w:val="28"/>
                <w:szCs w:val="28"/>
              </w:rPr>
              <w:t xml:space="preserve"> апреля 20</w:t>
            </w:r>
            <w:r w:rsidRPr="00364CEE">
              <w:rPr>
                <w:sz w:val="28"/>
                <w:szCs w:val="28"/>
              </w:rPr>
              <w:t>1</w:t>
            </w:r>
            <w:r w:rsidR="00364CEE" w:rsidRPr="00364CEE">
              <w:rPr>
                <w:sz w:val="28"/>
                <w:szCs w:val="28"/>
              </w:rPr>
              <w:t>9</w:t>
            </w:r>
            <w:r w:rsidR="00364CEE">
              <w:rPr>
                <w:sz w:val="28"/>
                <w:szCs w:val="28"/>
              </w:rPr>
              <w:t xml:space="preserve"> </w:t>
            </w:r>
            <w:r w:rsidRPr="00364CEE">
              <w:rPr>
                <w:sz w:val="28"/>
                <w:szCs w:val="28"/>
              </w:rPr>
              <w:t>г.</w:t>
            </w:r>
          </w:p>
          <w:p w14:paraId="1A813FAB" w14:textId="77777777" w:rsidR="004B4DAA" w:rsidRDefault="00172734" w:rsidP="00172734">
            <w:pPr>
              <w:pStyle w:val="1"/>
              <w:ind w:left="258"/>
              <w:rPr>
                <w:sz w:val="28"/>
                <w:szCs w:val="28"/>
              </w:rPr>
            </w:pPr>
            <w:r w:rsidRPr="00364CEE">
              <w:rPr>
                <w:sz w:val="28"/>
                <w:szCs w:val="28"/>
              </w:rPr>
              <w:t>№</w:t>
            </w:r>
            <w:r w:rsidR="00364CEE" w:rsidRPr="00364CEE">
              <w:rPr>
                <w:sz w:val="28"/>
                <w:szCs w:val="28"/>
              </w:rPr>
              <w:t xml:space="preserve"> N021075</w:t>
            </w:r>
            <w:r w:rsidR="004B4DAA">
              <w:rPr>
                <w:sz w:val="28"/>
                <w:szCs w:val="28"/>
              </w:rPr>
              <w:t xml:space="preserve">, </w:t>
            </w:r>
            <w:r w:rsidR="004B4DAA" w:rsidRPr="004B4DAA">
              <w:rPr>
                <w:sz w:val="28"/>
                <w:szCs w:val="28"/>
              </w:rPr>
              <w:t xml:space="preserve">№ N021076, </w:t>
            </w:r>
          </w:p>
          <w:p w14:paraId="6B744B46" w14:textId="77777777" w:rsidR="00172734" w:rsidRPr="004B4DAA" w:rsidRDefault="004B4DAA" w:rsidP="00172734">
            <w:pPr>
              <w:pStyle w:val="1"/>
              <w:ind w:left="258"/>
              <w:rPr>
                <w:rFonts w:eastAsia="Batang"/>
                <w:sz w:val="28"/>
              </w:rPr>
            </w:pPr>
            <w:r w:rsidRPr="004B4DAA">
              <w:rPr>
                <w:sz w:val="28"/>
                <w:szCs w:val="28"/>
              </w:rPr>
              <w:t>№ N021077</w:t>
            </w:r>
          </w:p>
        </w:tc>
      </w:tr>
    </w:tbl>
    <w:p w14:paraId="1D7389FA" w14:textId="77777777" w:rsidR="00E508A5" w:rsidRPr="0090720C" w:rsidRDefault="00E508A5" w:rsidP="00385549">
      <w:pPr>
        <w:pStyle w:val="12"/>
        <w:keepNext/>
        <w:keepLines/>
        <w:shd w:val="clear" w:color="auto" w:fill="auto"/>
        <w:spacing w:line="324" w:lineRule="exact"/>
        <w:ind w:left="1760" w:right="1820"/>
        <w:jc w:val="center"/>
        <w:rPr>
          <w:b/>
          <w:sz w:val="28"/>
          <w:szCs w:val="28"/>
        </w:rPr>
      </w:pPr>
    </w:p>
    <w:p w14:paraId="74810C4A" w14:textId="77777777" w:rsidR="00775EFA" w:rsidRPr="0090720C" w:rsidRDefault="00775EFA" w:rsidP="00B051DF">
      <w:pPr>
        <w:pStyle w:val="12"/>
        <w:keepNext/>
        <w:keepLines/>
        <w:shd w:val="clear" w:color="auto" w:fill="auto"/>
        <w:spacing w:line="324" w:lineRule="exact"/>
        <w:ind w:left="1760" w:right="1820"/>
        <w:jc w:val="center"/>
        <w:rPr>
          <w:b/>
          <w:sz w:val="28"/>
          <w:szCs w:val="28"/>
          <w:lang w:val="kk-KZ" w:eastAsia="ko-KR"/>
        </w:rPr>
      </w:pPr>
      <w:r w:rsidRPr="0090720C">
        <w:rPr>
          <w:b/>
          <w:sz w:val="28"/>
          <w:szCs w:val="28"/>
        </w:rPr>
        <w:t>Инструкция по медицинскому применению</w:t>
      </w:r>
      <w:r w:rsidR="008565B7" w:rsidRPr="0090720C">
        <w:rPr>
          <w:b/>
          <w:sz w:val="28"/>
          <w:szCs w:val="28"/>
        </w:rPr>
        <w:t xml:space="preserve"> </w:t>
      </w:r>
      <w:r w:rsidRPr="0090720C">
        <w:rPr>
          <w:b/>
          <w:sz w:val="28"/>
          <w:szCs w:val="28"/>
        </w:rPr>
        <w:t>лекарственного средства</w:t>
      </w:r>
    </w:p>
    <w:p w14:paraId="15C1763C" w14:textId="77777777" w:rsidR="00172734" w:rsidRPr="0090720C" w:rsidRDefault="00172734" w:rsidP="00DC2B90">
      <w:pPr>
        <w:jc w:val="center"/>
        <w:rPr>
          <w:sz w:val="28"/>
        </w:rPr>
      </w:pPr>
    </w:p>
    <w:p w14:paraId="39E19F4F" w14:textId="77777777" w:rsidR="00775EFA" w:rsidRPr="0090720C" w:rsidRDefault="0056030B" w:rsidP="00DC2B90">
      <w:pPr>
        <w:jc w:val="center"/>
        <w:rPr>
          <w:b/>
          <w:sz w:val="28"/>
        </w:rPr>
      </w:pPr>
      <w:r w:rsidRPr="0090720C">
        <w:rPr>
          <w:b/>
          <w:sz w:val="28"/>
        </w:rPr>
        <w:t>КЛОСАРТ</w:t>
      </w:r>
      <w:r w:rsidR="00172734" w:rsidRPr="0090720C">
        <w:rPr>
          <w:b/>
          <w:sz w:val="28"/>
          <w:vertAlign w:val="superscript"/>
        </w:rPr>
        <w:t>®</w:t>
      </w:r>
    </w:p>
    <w:p w14:paraId="1FA9666E" w14:textId="77777777" w:rsidR="00E508A5" w:rsidRPr="0090720C" w:rsidRDefault="00E508A5" w:rsidP="00775EFA">
      <w:pPr>
        <w:rPr>
          <w:b/>
          <w:sz w:val="28"/>
          <w:szCs w:val="28"/>
        </w:rPr>
      </w:pPr>
    </w:p>
    <w:p w14:paraId="40CB3D70" w14:textId="3D73A587" w:rsidR="00775EFA" w:rsidRPr="0090720C" w:rsidRDefault="00041072" w:rsidP="003855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775EFA" w:rsidRPr="0090720C">
        <w:rPr>
          <w:b/>
          <w:sz w:val="28"/>
          <w:szCs w:val="28"/>
        </w:rPr>
        <w:t>орговое название</w:t>
      </w:r>
    </w:p>
    <w:p w14:paraId="5000C35C" w14:textId="77777777" w:rsidR="00775EFA" w:rsidRPr="0090720C" w:rsidRDefault="0056030B" w:rsidP="00385549">
      <w:pPr>
        <w:jc w:val="both"/>
        <w:rPr>
          <w:bCs/>
          <w:sz w:val="28"/>
          <w:szCs w:val="28"/>
        </w:rPr>
      </w:pPr>
      <w:r w:rsidRPr="0090720C">
        <w:rPr>
          <w:bCs/>
          <w:sz w:val="28"/>
          <w:szCs w:val="28"/>
        </w:rPr>
        <w:t>КЛОСАРТ</w:t>
      </w:r>
      <w:r w:rsidR="00172734" w:rsidRPr="0090720C">
        <w:rPr>
          <w:sz w:val="28"/>
          <w:vertAlign w:val="superscript"/>
        </w:rPr>
        <w:t>®</w:t>
      </w:r>
    </w:p>
    <w:p w14:paraId="485379D0" w14:textId="77777777" w:rsidR="00DC2B90" w:rsidRPr="0090720C" w:rsidRDefault="00DC2B90" w:rsidP="00385549">
      <w:pPr>
        <w:jc w:val="both"/>
        <w:rPr>
          <w:sz w:val="28"/>
          <w:szCs w:val="28"/>
        </w:rPr>
      </w:pPr>
    </w:p>
    <w:p w14:paraId="4574EECA" w14:textId="77777777" w:rsidR="00775EFA" w:rsidRPr="0090720C" w:rsidRDefault="00775EFA" w:rsidP="00385549">
      <w:pPr>
        <w:jc w:val="both"/>
        <w:rPr>
          <w:b/>
          <w:sz w:val="28"/>
          <w:szCs w:val="28"/>
        </w:rPr>
      </w:pPr>
      <w:r w:rsidRPr="0090720C">
        <w:rPr>
          <w:b/>
          <w:sz w:val="28"/>
          <w:szCs w:val="28"/>
        </w:rPr>
        <w:t>Международное непатентованное название</w:t>
      </w:r>
    </w:p>
    <w:p w14:paraId="31F98723" w14:textId="77777777" w:rsidR="006D5038" w:rsidRPr="0090720C" w:rsidRDefault="00BB38BA" w:rsidP="00385549">
      <w:pPr>
        <w:jc w:val="both"/>
        <w:rPr>
          <w:sz w:val="28"/>
          <w:szCs w:val="28"/>
        </w:rPr>
      </w:pPr>
      <w:r w:rsidRPr="0090720C">
        <w:rPr>
          <w:sz w:val="28"/>
        </w:rPr>
        <w:t>Ло</w:t>
      </w:r>
      <w:r w:rsidR="00AD4285" w:rsidRPr="0090720C">
        <w:rPr>
          <w:sz w:val="28"/>
        </w:rPr>
        <w:t>з</w:t>
      </w:r>
      <w:r w:rsidRPr="0090720C">
        <w:rPr>
          <w:sz w:val="28"/>
        </w:rPr>
        <w:t xml:space="preserve">артан </w:t>
      </w:r>
    </w:p>
    <w:p w14:paraId="4CC215B1" w14:textId="77777777" w:rsidR="00717119" w:rsidRPr="0090720C" w:rsidRDefault="00717119" w:rsidP="00385549">
      <w:pPr>
        <w:jc w:val="both"/>
        <w:rPr>
          <w:sz w:val="28"/>
          <w:szCs w:val="28"/>
        </w:rPr>
      </w:pPr>
    </w:p>
    <w:p w14:paraId="4CC7082F" w14:textId="77777777" w:rsidR="00775EFA" w:rsidRPr="0090720C" w:rsidRDefault="00775EFA" w:rsidP="00385549">
      <w:pPr>
        <w:jc w:val="both"/>
        <w:rPr>
          <w:b/>
          <w:sz w:val="28"/>
          <w:szCs w:val="28"/>
        </w:rPr>
      </w:pPr>
      <w:r w:rsidRPr="0090720C">
        <w:rPr>
          <w:b/>
          <w:sz w:val="28"/>
          <w:szCs w:val="28"/>
        </w:rPr>
        <w:t>Лекарственная форма</w:t>
      </w:r>
    </w:p>
    <w:p w14:paraId="0A91C799" w14:textId="77777777" w:rsidR="004216B2" w:rsidRPr="0090720C" w:rsidRDefault="00763693" w:rsidP="00385549">
      <w:pPr>
        <w:jc w:val="both"/>
        <w:rPr>
          <w:sz w:val="28"/>
          <w:szCs w:val="28"/>
        </w:rPr>
      </w:pPr>
      <w:r w:rsidRPr="0090720C">
        <w:rPr>
          <w:bCs/>
          <w:sz w:val="28"/>
          <w:szCs w:val="28"/>
        </w:rPr>
        <w:t>Таблетки, покрытые пленочной оболочкой</w:t>
      </w:r>
      <w:r w:rsidR="004216B2" w:rsidRPr="0090720C">
        <w:rPr>
          <w:bCs/>
          <w:sz w:val="28"/>
          <w:szCs w:val="28"/>
        </w:rPr>
        <w:t xml:space="preserve"> </w:t>
      </w:r>
      <w:r w:rsidR="004216B2" w:rsidRPr="0090720C">
        <w:rPr>
          <w:sz w:val="28"/>
          <w:szCs w:val="28"/>
          <w:lang w:val="kk-KZ"/>
        </w:rPr>
        <w:t>25 мг, 50 мг и 100 мг</w:t>
      </w:r>
    </w:p>
    <w:p w14:paraId="15A2E7DD" w14:textId="77777777" w:rsidR="00763693" w:rsidRPr="0090720C" w:rsidRDefault="00763693" w:rsidP="00385549">
      <w:pPr>
        <w:jc w:val="both"/>
        <w:rPr>
          <w:sz w:val="28"/>
          <w:szCs w:val="28"/>
        </w:rPr>
      </w:pPr>
    </w:p>
    <w:p w14:paraId="25A5D45E" w14:textId="77777777" w:rsidR="00775EFA" w:rsidRPr="0090720C" w:rsidRDefault="00775EFA" w:rsidP="00385549">
      <w:pPr>
        <w:jc w:val="both"/>
        <w:rPr>
          <w:b/>
          <w:sz w:val="28"/>
          <w:szCs w:val="28"/>
        </w:rPr>
      </w:pPr>
      <w:r w:rsidRPr="0090720C">
        <w:rPr>
          <w:b/>
          <w:sz w:val="28"/>
          <w:szCs w:val="28"/>
        </w:rPr>
        <w:t>Состав</w:t>
      </w:r>
    </w:p>
    <w:p w14:paraId="65D0CDC6" w14:textId="77777777" w:rsidR="008E068D" w:rsidRPr="0090720C" w:rsidRDefault="008E068D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Одна</w:t>
      </w:r>
      <w:r w:rsidR="00685F79" w:rsidRPr="0090720C">
        <w:rPr>
          <w:sz w:val="28"/>
          <w:szCs w:val="28"/>
        </w:rPr>
        <w:t xml:space="preserve"> </w:t>
      </w:r>
      <w:r w:rsidR="00F73594" w:rsidRPr="0090720C">
        <w:rPr>
          <w:sz w:val="28"/>
          <w:szCs w:val="28"/>
        </w:rPr>
        <w:t>таблетка</w:t>
      </w:r>
      <w:r w:rsidRPr="0090720C">
        <w:rPr>
          <w:sz w:val="28"/>
          <w:szCs w:val="28"/>
        </w:rPr>
        <w:t xml:space="preserve"> содержит </w:t>
      </w:r>
    </w:p>
    <w:p w14:paraId="1673048B" w14:textId="77777777" w:rsidR="00F73594" w:rsidRPr="0090720C" w:rsidRDefault="002C4EEB" w:rsidP="00385549">
      <w:pPr>
        <w:jc w:val="both"/>
        <w:rPr>
          <w:iCs/>
          <w:noProof/>
          <w:sz w:val="28"/>
          <w:szCs w:val="28"/>
        </w:rPr>
      </w:pPr>
      <w:r w:rsidRPr="0090720C">
        <w:rPr>
          <w:i/>
          <w:iCs/>
          <w:noProof/>
          <w:sz w:val="28"/>
          <w:szCs w:val="28"/>
        </w:rPr>
        <w:t xml:space="preserve">активное вещество – </w:t>
      </w:r>
      <w:r w:rsidR="00714A15" w:rsidRPr="0090720C">
        <w:rPr>
          <w:bCs/>
          <w:noProof/>
          <w:sz w:val="28"/>
          <w:szCs w:val="28"/>
        </w:rPr>
        <w:t>ло</w:t>
      </w:r>
      <w:r w:rsidR="00603655" w:rsidRPr="0090720C">
        <w:rPr>
          <w:bCs/>
          <w:noProof/>
          <w:sz w:val="28"/>
          <w:szCs w:val="28"/>
        </w:rPr>
        <w:t>з</w:t>
      </w:r>
      <w:r w:rsidR="00714A15" w:rsidRPr="0090720C">
        <w:rPr>
          <w:bCs/>
          <w:noProof/>
          <w:sz w:val="28"/>
          <w:szCs w:val="28"/>
        </w:rPr>
        <w:t>артан калия 25 мг, 50 мг или 100 мг</w:t>
      </w:r>
      <w:r w:rsidRPr="0090720C">
        <w:rPr>
          <w:bCs/>
          <w:noProof/>
          <w:sz w:val="28"/>
          <w:szCs w:val="28"/>
        </w:rPr>
        <w:t>,</w:t>
      </w:r>
    </w:p>
    <w:p w14:paraId="5581F347" w14:textId="77777777" w:rsidR="00820424" w:rsidRPr="0090720C" w:rsidRDefault="00820424" w:rsidP="00385549">
      <w:pPr>
        <w:shd w:val="clear" w:color="auto" w:fill="FFFFFF"/>
        <w:jc w:val="both"/>
        <w:rPr>
          <w:spacing w:val="-1"/>
          <w:sz w:val="28"/>
          <w:szCs w:val="28"/>
        </w:rPr>
      </w:pPr>
      <w:r w:rsidRPr="0090720C">
        <w:rPr>
          <w:i/>
          <w:iCs/>
          <w:spacing w:val="-1"/>
          <w:sz w:val="28"/>
          <w:szCs w:val="28"/>
        </w:rPr>
        <w:t>вспомогательные вещества:</w:t>
      </w:r>
      <w:r w:rsidRPr="0090720C">
        <w:rPr>
          <w:spacing w:val="-1"/>
          <w:sz w:val="28"/>
          <w:szCs w:val="28"/>
        </w:rPr>
        <w:t xml:space="preserve"> целлюлоза микрокристаллическая, натрия кроскармел</w:t>
      </w:r>
      <w:r w:rsidR="00BD6CED" w:rsidRPr="0090720C">
        <w:rPr>
          <w:spacing w:val="-1"/>
          <w:sz w:val="28"/>
          <w:szCs w:val="28"/>
        </w:rPr>
        <w:t>л</w:t>
      </w:r>
      <w:r w:rsidRPr="0090720C">
        <w:rPr>
          <w:spacing w:val="-1"/>
          <w:sz w:val="28"/>
          <w:szCs w:val="28"/>
        </w:rPr>
        <w:t xml:space="preserve">оза, кремния диоксид коллоидный безводный, </w:t>
      </w:r>
      <w:r w:rsidR="004216B2" w:rsidRPr="0090720C">
        <w:rPr>
          <w:spacing w:val="-1"/>
          <w:sz w:val="28"/>
          <w:szCs w:val="28"/>
        </w:rPr>
        <w:t xml:space="preserve">магния </w:t>
      </w:r>
      <w:proofErr w:type="spellStart"/>
      <w:r w:rsidR="004216B2" w:rsidRPr="0090720C">
        <w:rPr>
          <w:spacing w:val="-1"/>
          <w:sz w:val="28"/>
          <w:szCs w:val="28"/>
        </w:rPr>
        <w:t>стеарат</w:t>
      </w:r>
      <w:proofErr w:type="spellEnd"/>
      <w:r w:rsidR="004216B2" w:rsidRPr="0090720C">
        <w:rPr>
          <w:spacing w:val="-1"/>
          <w:sz w:val="28"/>
          <w:szCs w:val="28"/>
        </w:rPr>
        <w:t xml:space="preserve">, пленочная оболочка: </w:t>
      </w:r>
      <w:r w:rsidRPr="0090720C">
        <w:rPr>
          <w:spacing w:val="-1"/>
          <w:sz w:val="28"/>
          <w:szCs w:val="28"/>
        </w:rPr>
        <w:t>О</w:t>
      </w:r>
      <w:proofErr w:type="spellStart"/>
      <w:r w:rsidR="004216B2" w:rsidRPr="0090720C">
        <w:rPr>
          <w:spacing w:val="-1"/>
          <w:sz w:val="28"/>
          <w:szCs w:val="28"/>
          <w:lang w:val="en-US"/>
        </w:rPr>
        <w:t>padry</w:t>
      </w:r>
      <w:proofErr w:type="spellEnd"/>
      <w:r w:rsidR="004216B2" w:rsidRPr="0090720C">
        <w:rPr>
          <w:spacing w:val="-1"/>
          <w:sz w:val="28"/>
          <w:szCs w:val="28"/>
        </w:rPr>
        <w:t xml:space="preserve"> желтый </w:t>
      </w:r>
      <w:r w:rsidR="00C06456" w:rsidRPr="0090720C">
        <w:rPr>
          <w:sz w:val="28"/>
          <w:szCs w:val="28"/>
        </w:rPr>
        <w:t>0</w:t>
      </w:r>
      <w:r w:rsidRPr="0090720C">
        <w:rPr>
          <w:sz w:val="28"/>
          <w:szCs w:val="28"/>
        </w:rPr>
        <w:t>3В52014</w:t>
      </w:r>
      <w:r w:rsidRPr="0090720C">
        <w:rPr>
          <w:spacing w:val="-1"/>
          <w:sz w:val="28"/>
          <w:szCs w:val="28"/>
        </w:rPr>
        <w:t>*</w:t>
      </w:r>
      <w:r w:rsidR="00BD6CED" w:rsidRPr="0090720C">
        <w:rPr>
          <w:spacing w:val="-1"/>
          <w:sz w:val="28"/>
          <w:szCs w:val="28"/>
        </w:rPr>
        <w:t>, вода очищенная</w:t>
      </w:r>
      <w:r w:rsidRPr="0090720C">
        <w:rPr>
          <w:spacing w:val="-1"/>
          <w:sz w:val="28"/>
          <w:szCs w:val="28"/>
        </w:rPr>
        <w:t>.</w:t>
      </w:r>
    </w:p>
    <w:p w14:paraId="755EE021" w14:textId="77777777" w:rsidR="004216B2" w:rsidRPr="0090720C" w:rsidRDefault="004216B2" w:rsidP="00385549">
      <w:pPr>
        <w:jc w:val="both"/>
        <w:rPr>
          <w:spacing w:val="-1"/>
        </w:rPr>
      </w:pPr>
      <w:r w:rsidRPr="0090720C">
        <w:rPr>
          <w:spacing w:val="2"/>
        </w:rPr>
        <w:t>*состав</w:t>
      </w:r>
      <w:r w:rsidRPr="0090720C">
        <w:rPr>
          <w:spacing w:val="-1"/>
        </w:rPr>
        <w:t xml:space="preserve"> пленочной оболочки О</w:t>
      </w:r>
      <w:proofErr w:type="spellStart"/>
      <w:r w:rsidRPr="0090720C">
        <w:rPr>
          <w:spacing w:val="-1"/>
          <w:lang w:val="en-US"/>
        </w:rPr>
        <w:t>padry</w:t>
      </w:r>
      <w:proofErr w:type="spellEnd"/>
      <w:r w:rsidRPr="0090720C">
        <w:rPr>
          <w:spacing w:val="-1"/>
        </w:rPr>
        <w:t xml:space="preserve"> желтый </w:t>
      </w:r>
      <w:r w:rsidRPr="0090720C">
        <w:t>03В52014</w:t>
      </w:r>
      <w:r w:rsidRPr="0090720C">
        <w:rPr>
          <w:spacing w:val="2"/>
        </w:rPr>
        <w:t xml:space="preserve">: </w:t>
      </w:r>
      <w:proofErr w:type="spellStart"/>
      <w:r w:rsidRPr="0090720C">
        <w:rPr>
          <w:spacing w:val="2"/>
        </w:rPr>
        <w:t>гипромелоза</w:t>
      </w:r>
      <w:proofErr w:type="spellEnd"/>
      <w:r w:rsidR="00F8658C" w:rsidRPr="0090720C">
        <w:rPr>
          <w:spacing w:val="2"/>
        </w:rPr>
        <w:t xml:space="preserve"> (Е 464),</w:t>
      </w:r>
      <w:r w:rsidRPr="0090720C">
        <w:rPr>
          <w:spacing w:val="2"/>
        </w:rPr>
        <w:t xml:space="preserve"> </w:t>
      </w:r>
      <w:r w:rsidR="00F8658C" w:rsidRPr="0090720C">
        <w:rPr>
          <w:spacing w:val="-1"/>
        </w:rPr>
        <w:t xml:space="preserve">титана диоксид (Е 171), </w:t>
      </w:r>
      <w:proofErr w:type="spellStart"/>
      <w:r w:rsidR="00F8658C" w:rsidRPr="0090720C">
        <w:rPr>
          <w:spacing w:val="-1"/>
        </w:rPr>
        <w:t>полиэтиленгликоль</w:t>
      </w:r>
      <w:proofErr w:type="spellEnd"/>
      <w:r w:rsidR="00F8658C" w:rsidRPr="0090720C">
        <w:rPr>
          <w:spacing w:val="-1"/>
        </w:rPr>
        <w:t xml:space="preserve"> 400, </w:t>
      </w:r>
      <w:proofErr w:type="spellStart"/>
      <w:r w:rsidR="00F8658C" w:rsidRPr="0090720C">
        <w:rPr>
          <w:spacing w:val="-1"/>
        </w:rPr>
        <w:t>хинолиновый</w:t>
      </w:r>
      <w:proofErr w:type="spellEnd"/>
      <w:r w:rsidR="00F8658C" w:rsidRPr="0090720C">
        <w:rPr>
          <w:spacing w:val="-1"/>
        </w:rPr>
        <w:t xml:space="preserve"> желтый (Е 104), </w:t>
      </w:r>
      <w:r w:rsidR="00820424" w:rsidRPr="0090720C">
        <w:rPr>
          <w:spacing w:val="-1"/>
        </w:rPr>
        <w:t>железа</w:t>
      </w:r>
      <w:r w:rsidR="00F8658C" w:rsidRPr="0090720C">
        <w:rPr>
          <w:spacing w:val="-1"/>
        </w:rPr>
        <w:t xml:space="preserve"> (</w:t>
      </w:r>
      <w:r w:rsidR="00F8658C" w:rsidRPr="0090720C">
        <w:rPr>
          <w:spacing w:val="-1"/>
          <w:lang w:val="en-US"/>
        </w:rPr>
        <w:t>III</w:t>
      </w:r>
      <w:r w:rsidR="00F8658C" w:rsidRPr="0090720C">
        <w:rPr>
          <w:spacing w:val="-1"/>
        </w:rPr>
        <w:t>)</w:t>
      </w:r>
      <w:r w:rsidR="00820424" w:rsidRPr="0090720C">
        <w:rPr>
          <w:spacing w:val="-1"/>
        </w:rPr>
        <w:t xml:space="preserve"> оксид желтый (Е 172) </w:t>
      </w:r>
    </w:p>
    <w:p w14:paraId="53C93D0F" w14:textId="77777777" w:rsidR="00936AD2" w:rsidRPr="0090720C" w:rsidRDefault="00936AD2" w:rsidP="00936AD2">
      <w:pPr>
        <w:shd w:val="clear" w:color="auto" w:fill="FFFFFF"/>
        <w:spacing w:line="192" w:lineRule="auto"/>
        <w:jc w:val="both"/>
        <w:rPr>
          <w:color w:val="000000" w:themeColor="text1"/>
        </w:rPr>
      </w:pPr>
    </w:p>
    <w:p w14:paraId="6A385804" w14:textId="77777777" w:rsidR="00DE5273" w:rsidRPr="0090720C" w:rsidRDefault="00DE5273" w:rsidP="00385549">
      <w:pPr>
        <w:jc w:val="both"/>
        <w:rPr>
          <w:b/>
          <w:sz w:val="28"/>
          <w:szCs w:val="28"/>
        </w:rPr>
      </w:pPr>
    </w:p>
    <w:p w14:paraId="0E957D0E" w14:textId="77777777" w:rsidR="00775EFA" w:rsidRPr="0090720C" w:rsidRDefault="00775EFA" w:rsidP="00385549">
      <w:pPr>
        <w:jc w:val="both"/>
        <w:rPr>
          <w:b/>
          <w:sz w:val="28"/>
          <w:szCs w:val="28"/>
        </w:rPr>
      </w:pPr>
      <w:r w:rsidRPr="0090720C">
        <w:rPr>
          <w:b/>
          <w:sz w:val="28"/>
          <w:szCs w:val="28"/>
        </w:rPr>
        <w:t>Описание</w:t>
      </w:r>
    </w:p>
    <w:p w14:paraId="17EB2F45" w14:textId="77777777" w:rsidR="00DE5273" w:rsidRPr="0090720C" w:rsidRDefault="00B11C36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Таблетки, покрытые пленочной оболочкой, желтого цвета, круглой формы, с двояковыпуклой поверхностью.</w:t>
      </w:r>
    </w:p>
    <w:p w14:paraId="348131D9" w14:textId="77777777" w:rsidR="00B11C36" w:rsidRPr="0090720C" w:rsidRDefault="00B11C36" w:rsidP="00385549">
      <w:pPr>
        <w:jc w:val="both"/>
        <w:rPr>
          <w:b/>
          <w:sz w:val="28"/>
          <w:szCs w:val="28"/>
        </w:rPr>
      </w:pPr>
    </w:p>
    <w:p w14:paraId="5B622C1F" w14:textId="77777777" w:rsidR="00775EFA" w:rsidRPr="0090720C" w:rsidRDefault="00775EFA" w:rsidP="00385549">
      <w:pPr>
        <w:jc w:val="both"/>
        <w:rPr>
          <w:b/>
          <w:sz w:val="28"/>
          <w:szCs w:val="28"/>
        </w:rPr>
      </w:pPr>
      <w:r w:rsidRPr="0090720C">
        <w:rPr>
          <w:b/>
          <w:sz w:val="28"/>
          <w:szCs w:val="28"/>
        </w:rPr>
        <w:t>Фармакотерапевтическая группа</w:t>
      </w:r>
    </w:p>
    <w:p w14:paraId="60437661" w14:textId="77777777" w:rsidR="002A1EE5" w:rsidRPr="0090720C" w:rsidRDefault="002A1EE5" w:rsidP="002A1EE5">
      <w:pPr>
        <w:pStyle w:val="Standard"/>
        <w:jc w:val="both"/>
        <w:rPr>
          <w:snapToGrid/>
          <w:sz w:val="28"/>
          <w:szCs w:val="28"/>
          <w:lang w:val="ru-RU"/>
        </w:rPr>
      </w:pPr>
      <w:r>
        <w:rPr>
          <w:snapToGrid/>
          <w:sz w:val="28"/>
          <w:szCs w:val="28"/>
          <w:lang w:val="ru-RU"/>
        </w:rPr>
        <w:t>С</w:t>
      </w:r>
      <w:r w:rsidRPr="0090720C">
        <w:rPr>
          <w:snapToGrid/>
          <w:sz w:val="28"/>
          <w:szCs w:val="28"/>
          <w:lang w:val="ru-RU"/>
        </w:rPr>
        <w:t>ердечно – сосудист</w:t>
      </w:r>
      <w:r>
        <w:rPr>
          <w:snapToGrid/>
          <w:sz w:val="28"/>
          <w:szCs w:val="28"/>
          <w:lang w:val="ru-RU"/>
        </w:rPr>
        <w:t>ая</w:t>
      </w:r>
      <w:r w:rsidRPr="0090720C">
        <w:rPr>
          <w:snapToGrid/>
          <w:sz w:val="28"/>
          <w:szCs w:val="28"/>
          <w:lang w:val="ru-RU"/>
        </w:rPr>
        <w:t xml:space="preserve"> систем</w:t>
      </w:r>
      <w:r>
        <w:rPr>
          <w:snapToGrid/>
          <w:sz w:val="28"/>
          <w:szCs w:val="28"/>
          <w:lang w:val="ru-RU"/>
        </w:rPr>
        <w:t>а</w:t>
      </w:r>
      <w:r w:rsidRPr="0090720C">
        <w:rPr>
          <w:snapToGrid/>
          <w:sz w:val="28"/>
          <w:szCs w:val="28"/>
          <w:lang w:val="ru-RU"/>
        </w:rPr>
        <w:t xml:space="preserve">. Препараты, влияющие на систему ренин-ангиотензин. Ангиотензина </w:t>
      </w:r>
      <w:r w:rsidRPr="0090720C">
        <w:rPr>
          <w:snapToGrid/>
          <w:sz w:val="28"/>
          <w:szCs w:val="28"/>
        </w:rPr>
        <w:t>II</w:t>
      </w:r>
      <w:r w:rsidRPr="0090720C">
        <w:rPr>
          <w:snapToGrid/>
          <w:sz w:val="28"/>
          <w:szCs w:val="28"/>
          <w:lang w:val="ru-RU"/>
        </w:rPr>
        <w:t xml:space="preserve"> антагонисты. Лозартан.</w:t>
      </w:r>
    </w:p>
    <w:p w14:paraId="17214E44" w14:textId="77777777" w:rsidR="00743AFB" w:rsidRPr="0090720C" w:rsidRDefault="00743AFB" w:rsidP="00385549">
      <w:pPr>
        <w:pStyle w:val="a8"/>
        <w:rPr>
          <w:szCs w:val="28"/>
        </w:rPr>
      </w:pPr>
      <w:r w:rsidRPr="0090720C">
        <w:rPr>
          <w:iCs/>
          <w:szCs w:val="28"/>
          <w:lang w:eastAsia="ko-KR"/>
        </w:rPr>
        <w:t xml:space="preserve">Код </w:t>
      </w:r>
      <w:r w:rsidRPr="0090720C">
        <w:rPr>
          <w:iCs/>
          <w:szCs w:val="28"/>
          <w:lang w:val="en-US" w:eastAsia="ko-KR"/>
        </w:rPr>
        <w:t>AT</w:t>
      </w:r>
      <w:r w:rsidRPr="0090720C">
        <w:rPr>
          <w:iCs/>
          <w:szCs w:val="28"/>
          <w:lang w:eastAsia="ko-KR"/>
        </w:rPr>
        <w:t>Х</w:t>
      </w:r>
      <w:r w:rsidRPr="0090720C">
        <w:rPr>
          <w:bCs/>
          <w:i/>
          <w:szCs w:val="28"/>
          <w:lang w:eastAsia="ko-KR"/>
        </w:rPr>
        <w:t xml:space="preserve"> </w:t>
      </w:r>
      <w:r w:rsidRPr="0090720C">
        <w:rPr>
          <w:szCs w:val="28"/>
          <w:lang w:val="en"/>
        </w:rPr>
        <w:t>C</w:t>
      </w:r>
      <w:r w:rsidRPr="0090720C">
        <w:rPr>
          <w:szCs w:val="28"/>
        </w:rPr>
        <w:t>09</w:t>
      </w:r>
      <w:r w:rsidRPr="0090720C">
        <w:rPr>
          <w:szCs w:val="28"/>
          <w:lang w:val="en"/>
        </w:rPr>
        <w:t>C</w:t>
      </w:r>
      <w:r w:rsidRPr="0090720C">
        <w:rPr>
          <w:szCs w:val="28"/>
          <w:lang w:val="ru-RU"/>
        </w:rPr>
        <w:t xml:space="preserve"> </w:t>
      </w:r>
      <w:r w:rsidRPr="0090720C">
        <w:rPr>
          <w:szCs w:val="28"/>
          <w:lang w:val="en"/>
        </w:rPr>
        <w:t>A</w:t>
      </w:r>
      <w:r w:rsidRPr="0090720C">
        <w:rPr>
          <w:szCs w:val="28"/>
        </w:rPr>
        <w:t>01</w:t>
      </w:r>
    </w:p>
    <w:p w14:paraId="73C4572C" w14:textId="77777777" w:rsidR="00743AFB" w:rsidRPr="0090720C" w:rsidRDefault="00743AFB" w:rsidP="00385549">
      <w:pPr>
        <w:jc w:val="both"/>
        <w:rPr>
          <w:noProof/>
          <w:sz w:val="28"/>
          <w:szCs w:val="28"/>
        </w:rPr>
      </w:pPr>
    </w:p>
    <w:p w14:paraId="4E513655" w14:textId="77777777" w:rsidR="00775EFA" w:rsidRPr="0090720C" w:rsidRDefault="00775EFA" w:rsidP="00385549">
      <w:pPr>
        <w:jc w:val="both"/>
        <w:rPr>
          <w:b/>
          <w:sz w:val="28"/>
        </w:rPr>
      </w:pPr>
      <w:r w:rsidRPr="0090720C">
        <w:rPr>
          <w:b/>
          <w:sz w:val="28"/>
        </w:rPr>
        <w:t>Фармакологические свойства</w:t>
      </w:r>
    </w:p>
    <w:p w14:paraId="1C9E44C1" w14:textId="77777777" w:rsidR="000308B1" w:rsidRPr="0090720C" w:rsidRDefault="000308B1" w:rsidP="00385549">
      <w:pPr>
        <w:jc w:val="both"/>
        <w:rPr>
          <w:i/>
          <w:sz w:val="28"/>
          <w:szCs w:val="28"/>
        </w:rPr>
      </w:pPr>
      <w:r w:rsidRPr="0090720C">
        <w:rPr>
          <w:b/>
          <w:i/>
          <w:sz w:val="28"/>
          <w:szCs w:val="28"/>
        </w:rPr>
        <w:t>Фармакодинамика</w:t>
      </w:r>
      <w:r w:rsidRPr="0090720C">
        <w:rPr>
          <w:i/>
          <w:sz w:val="28"/>
          <w:szCs w:val="28"/>
        </w:rPr>
        <w:t xml:space="preserve"> </w:t>
      </w:r>
    </w:p>
    <w:p w14:paraId="7EC06CD6" w14:textId="77777777" w:rsidR="00D274C5" w:rsidRPr="0090720C" w:rsidRDefault="00D274C5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lastRenderedPageBreak/>
        <w:t>Ло</w:t>
      </w:r>
      <w:r w:rsidR="0082773D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 калия – антагонист рецепторов ангиотензина II (типа АТ</w:t>
      </w:r>
      <w:r w:rsidRPr="0090720C">
        <w:rPr>
          <w:sz w:val="28"/>
          <w:szCs w:val="28"/>
          <w:vertAlign w:val="subscript"/>
        </w:rPr>
        <w:t>1</w:t>
      </w:r>
      <w:r w:rsidRPr="0090720C">
        <w:rPr>
          <w:sz w:val="28"/>
          <w:szCs w:val="28"/>
        </w:rPr>
        <w:t xml:space="preserve">). Ангиотензин II, который образуется из ангиотензина I при реакции с участием АПФ (АПФ, </w:t>
      </w:r>
      <w:proofErr w:type="spellStart"/>
      <w:r w:rsidRPr="0090720C">
        <w:rPr>
          <w:sz w:val="28"/>
          <w:szCs w:val="28"/>
        </w:rPr>
        <w:t>кининазы</w:t>
      </w:r>
      <w:proofErr w:type="spellEnd"/>
      <w:r w:rsidRPr="0090720C">
        <w:rPr>
          <w:sz w:val="28"/>
          <w:szCs w:val="28"/>
        </w:rPr>
        <w:t xml:space="preserve"> II), является мощным вазоконстриктором, первичным вазоактивным гормоном ренин-ангиотензиновой системы и важным компонентом патофизиологических механизмов артериальной гипертензии. Ангиотензин II также связывается с рецептором АТ</w:t>
      </w:r>
      <w:r w:rsidRPr="0090720C">
        <w:rPr>
          <w:sz w:val="28"/>
          <w:szCs w:val="28"/>
          <w:vertAlign w:val="subscript"/>
        </w:rPr>
        <w:t>1</w:t>
      </w:r>
      <w:r w:rsidRPr="0090720C">
        <w:rPr>
          <w:sz w:val="28"/>
          <w:szCs w:val="28"/>
        </w:rPr>
        <w:t>, который найден во многих тканях (гладких мышцах сосудов, надпочечниках, почках и сердце), определяя ряд важных биологических эффектов, в том числе вазоконстрикцию и высвобождение альдостерона. Ангиотензин II также стимулирует пролиферацию гладкомышечных клеток.</w:t>
      </w:r>
    </w:p>
    <w:p w14:paraId="371C4DF2" w14:textId="77777777" w:rsidR="00680825" w:rsidRPr="0090720C" w:rsidRDefault="00D274C5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Ло</w:t>
      </w:r>
      <w:r w:rsidR="0082773D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 xml:space="preserve">артан и его активный метаболит карбоксильная кислота блокируют все физиологически значимые воздействия ангиотензина II независимо от источника или пути синтеза. </w:t>
      </w:r>
    </w:p>
    <w:p w14:paraId="53E70EA9" w14:textId="77777777" w:rsidR="00D274C5" w:rsidRPr="0090720C" w:rsidRDefault="00D274C5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Ло</w:t>
      </w:r>
      <w:r w:rsidR="0082773D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 селективно связывается с рецептором АТ</w:t>
      </w:r>
      <w:r w:rsidRPr="0090720C">
        <w:rPr>
          <w:sz w:val="28"/>
          <w:szCs w:val="28"/>
          <w:vertAlign w:val="subscript"/>
        </w:rPr>
        <w:t>1</w:t>
      </w:r>
      <w:r w:rsidRPr="0090720C">
        <w:rPr>
          <w:sz w:val="28"/>
          <w:szCs w:val="28"/>
        </w:rPr>
        <w:t>, не связывается и не блокирует другие рецепторы гормонов или ионные каналы.</w:t>
      </w:r>
    </w:p>
    <w:p w14:paraId="622A49C0" w14:textId="77777777" w:rsidR="00D274C5" w:rsidRPr="0090720C" w:rsidRDefault="00D274C5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Более того, </w:t>
      </w:r>
      <w:proofErr w:type="spellStart"/>
      <w:r w:rsidRPr="0090720C">
        <w:rPr>
          <w:sz w:val="28"/>
          <w:szCs w:val="28"/>
        </w:rPr>
        <w:t>ло</w:t>
      </w:r>
      <w:r w:rsidR="0082773D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</w:t>
      </w:r>
      <w:proofErr w:type="spellEnd"/>
      <w:r w:rsidRPr="0090720C">
        <w:rPr>
          <w:sz w:val="28"/>
          <w:szCs w:val="28"/>
        </w:rPr>
        <w:t xml:space="preserve"> не подавляет АПФ (</w:t>
      </w:r>
      <w:proofErr w:type="spellStart"/>
      <w:r w:rsidRPr="0090720C">
        <w:rPr>
          <w:sz w:val="28"/>
          <w:szCs w:val="28"/>
        </w:rPr>
        <w:t>кининазу</w:t>
      </w:r>
      <w:proofErr w:type="spellEnd"/>
      <w:r w:rsidRPr="0090720C">
        <w:rPr>
          <w:sz w:val="28"/>
          <w:szCs w:val="28"/>
        </w:rPr>
        <w:t xml:space="preserve"> II) – фермент, который способствует распаду </w:t>
      </w:r>
      <w:proofErr w:type="spellStart"/>
      <w:r w:rsidRPr="0090720C">
        <w:rPr>
          <w:sz w:val="28"/>
          <w:szCs w:val="28"/>
        </w:rPr>
        <w:t>брадикинина</w:t>
      </w:r>
      <w:proofErr w:type="spellEnd"/>
      <w:r w:rsidRPr="0090720C">
        <w:rPr>
          <w:sz w:val="28"/>
          <w:szCs w:val="28"/>
        </w:rPr>
        <w:t>. Вследствие этого эффекты, непосредственно не связанные с блокадой рецептора АТ</w:t>
      </w:r>
      <w:r w:rsidRPr="0090720C">
        <w:rPr>
          <w:sz w:val="28"/>
          <w:szCs w:val="28"/>
          <w:vertAlign w:val="subscript"/>
        </w:rPr>
        <w:t>1</w:t>
      </w:r>
      <w:r w:rsidRPr="0090720C">
        <w:rPr>
          <w:sz w:val="28"/>
          <w:szCs w:val="28"/>
        </w:rPr>
        <w:t xml:space="preserve">, такие как усиление влияний, медиатором которых является </w:t>
      </w:r>
      <w:proofErr w:type="spellStart"/>
      <w:r w:rsidRPr="0090720C">
        <w:rPr>
          <w:sz w:val="28"/>
          <w:szCs w:val="28"/>
        </w:rPr>
        <w:t>брадикинин</w:t>
      </w:r>
      <w:proofErr w:type="spellEnd"/>
      <w:r w:rsidRPr="0090720C">
        <w:rPr>
          <w:sz w:val="28"/>
          <w:szCs w:val="28"/>
        </w:rPr>
        <w:t>, не ассоциированы с применением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артана.</w:t>
      </w:r>
    </w:p>
    <w:p w14:paraId="0B5C3B39" w14:textId="77777777" w:rsidR="00D274C5" w:rsidRPr="0090720C" w:rsidRDefault="00D274C5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При применении ло</w:t>
      </w:r>
      <w:r w:rsidR="0082773D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устранение отрицательной обратимой реакции ангиотензина II на секрецию ренина приводит к повышению активности ренина в плазме крови. Такое повышение активности приводит к росту ангиотензина II в плазме крови. Хотя происходит такой рост, антигипертензивная активность и супрессия концентрации альдостерона в плазме крови сохраняются, что свидетельствует об эффективной блокаде рецепторов ангиотензина II. После отмены ло</w:t>
      </w:r>
      <w:r w:rsidR="0082773D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активность ренина в плазме крови и показатели уровней ангиотензина II в течение 3 дней возвращаются к исходным значениям.</w:t>
      </w:r>
    </w:p>
    <w:p w14:paraId="6C589F78" w14:textId="77777777" w:rsidR="000308B1" w:rsidRPr="0090720C" w:rsidRDefault="00D274C5" w:rsidP="00385549">
      <w:pPr>
        <w:ind w:right="-8"/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Как </w:t>
      </w:r>
      <w:proofErr w:type="spellStart"/>
      <w:r w:rsidRPr="0090720C">
        <w:rPr>
          <w:sz w:val="28"/>
          <w:szCs w:val="28"/>
        </w:rPr>
        <w:t>ло</w:t>
      </w:r>
      <w:r w:rsidR="0082773D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</w:t>
      </w:r>
      <w:proofErr w:type="spellEnd"/>
      <w:r w:rsidRPr="0090720C">
        <w:rPr>
          <w:sz w:val="28"/>
          <w:szCs w:val="28"/>
        </w:rPr>
        <w:t>, так и его основной метаболит имеют более высокое сродство к АТ</w:t>
      </w:r>
      <w:r w:rsidRPr="0090720C">
        <w:rPr>
          <w:sz w:val="28"/>
          <w:szCs w:val="28"/>
          <w:vertAlign w:val="subscript"/>
        </w:rPr>
        <w:t>1</w:t>
      </w:r>
      <w:r w:rsidRPr="0090720C">
        <w:rPr>
          <w:sz w:val="28"/>
          <w:szCs w:val="28"/>
        </w:rPr>
        <w:t xml:space="preserve"> рецепторам, чем к АТ</w:t>
      </w:r>
      <w:r w:rsidRPr="0090720C">
        <w:rPr>
          <w:sz w:val="28"/>
          <w:szCs w:val="28"/>
          <w:vertAlign w:val="subscript"/>
        </w:rPr>
        <w:t>2</w:t>
      </w:r>
      <w:r w:rsidRPr="0090720C">
        <w:rPr>
          <w:sz w:val="28"/>
          <w:szCs w:val="28"/>
        </w:rPr>
        <w:t xml:space="preserve">. Активный метаболит в 10–40 раз более активен, чем </w:t>
      </w:r>
      <w:proofErr w:type="spellStart"/>
      <w:r w:rsidRPr="0090720C">
        <w:rPr>
          <w:sz w:val="28"/>
          <w:szCs w:val="28"/>
        </w:rPr>
        <w:t>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</w:t>
      </w:r>
      <w:proofErr w:type="spellEnd"/>
      <w:r w:rsidR="000308B1" w:rsidRPr="0090720C">
        <w:rPr>
          <w:sz w:val="28"/>
          <w:szCs w:val="28"/>
        </w:rPr>
        <w:t>.</w:t>
      </w:r>
    </w:p>
    <w:p w14:paraId="1EEAAD6A" w14:textId="77777777" w:rsidR="000308B1" w:rsidRPr="0090720C" w:rsidRDefault="000308B1" w:rsidP="00385549">
      <w:pPr>
        <w:ind w:right="-8"/>
        <w:jc w:val="both"/>
        <w:rPr>
          <w:b/>
          <w:i/>
          <w:sz w:val="28"/>
          <w:szCs w:val="28"/>
        </w:rPr>
      </w:pPr>
      <w:r w:rsidRPr="0090720C">
        <w:rPr>
          <w:b/>
          <w:i/>
          <w:sz w:val="28"/>
          <w:szCs w:val="28"/>
        </w:rPr>
        <w:t xml:space="preserve">Фармакокинетика </w:t>
      </w:r>
    </w:p>
    <w:p w14:paraId="2C0B87DC" w14:textId="77777777" w:rsidR="00D274C5" w:rsidRPr="0090720C" w:rsidRDefault="00D274C5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После перорального приема </w:t>
      </w:r>
      <w:proofErr w:type="spellStart"/>
      <w:r w:rsidRPr="0090720C">
        <w:rPr>
          <w:sz w:val="28"/>
          <w:szCs w:val="28"/>
        </w:rPr>
        <w:t>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</w:t>
      </w:r>
      <w:proofErr w:type="spellEnd"/>
      <w:r w:rsidRPr="0090720C">
        <w:rPr>
          <w:sz w:val="28"/>
          <w:szCs w:val="28"/>
        </w:rPr>
        <w:t xml:space="preserve"> хорошо абсорбируется и подвергается метаболизму первого прохождения. Системная биодоступность составляет приблизительно 33%. Почти 14% пероральной дозы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превращается в активный карбоксильный метаболит. Максимальная концентрация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и его активного метаболита достигается через 1 час и через 3–4 часа соответственно. Ло</w:t>
      </w:r>
      <w:r w:rsidR="0082773D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 и активный метаболит интенсивно связываются с белками плазмы крови, главным образом, с альбумином. Период полураспада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составляет 2 часа, активного метаболита – 6–9 часов. Фармакокинетика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и активного метаболита является линейной для пероральных доз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до 200 мг и не меняется со временем. Ло</w:t>
      </w:r>
      <w:r w:rsidR="0082773D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 xml:space="preserve">артан и активный метаболит аккумулируются в плазме крови в случае повторного приема дозы 1 раз в сутки. Примерно </w:t>
      </w:r>
      <w:r w:rsidRPr="0090720C">
        <w:rPr>
          <w:sz w:val="28"/>
          <w:szCs w:val="28"/>
        </w:rPr>
        <w:lastRenderedPageBreak/>
        <w:t>4% дозы выводится в неизмененном виде с мочой и почти 6 % выводится в виде активного метаболита. Билиарная экскреция препарата составляет определенную часть элиминации ло</w:t>
      </w:r>
      <w:r w:rsidR="0082773D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и его активного метаболита – приблизительно 35% дозы попадает в мочу и почти 58% – в фекалии.</w:t>
      </w:r>
    </w:p>
    <w:p w14:paraId="5167E048" w14:textId="77777777" w:rsidR="00D274C5" w:rsidRPr="0090720C" w:rsidRDefault="00D274C5" w:rsidP="00385549">
      <w:pPr>
        <w:jc w:val="both"/>
        <w:rPr>
          <w:i/>
          <w:sz w:val="28"/>
          <w:szCs w:val="28"/>
        </w:rPr>
      </w:pPr>
      <w:r w:rsidRPr="0090720C">
        <w:rPr>
          <w:i/>
          <w:sz w:val="28"/>
          <w:szCs w:val="28"/>
        </w:rPr>
        <w:t>Пациенты пожилого возраста.</w:t>
      </w:r>
    </w:p>
    <w:p w14:paraId="19141070" w14:textId="77777777" w:rsidR="00D274C5" w:rsidRPr="0090720C" w:rsidRDefault="00D274C5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Достоверных изменений фармакокинетических характеристик у пациентов пожилого возраста с артериальной гипертензией по сравнению с молодыми пациентами не выявлено.</w:t>
      </w:r>
    </w:p>
    <w:p w14:paraId="31C749D7" w14:textId="77777777" w:rsidR="00D274C5" w:rsidRPr="0090720C" w:rsidRDefault="00D274C5" w:rsidP="00385549">
      <w:pPr>
        <w:jc w:val="both"/>
        <w:rPr>
          <w:i/>
          <w:sz w:val="28"/>
          <w:szCs w:val="28"/>
        </w:rPr>
      </w:pPr>
      <w:r w:rsidRPr="0090720C">
        <w:rPr>
          <w:i/>
          <w:sz w:val="28"/>
          <w:szCs w:val="28"/>
        </w:rPr>
        <w:t>Пол.</w:t>
      </w:r>
    </w:p>
    <w:p w14:paraId="45689CF0" w14:textId="77777777" w:rsidR="00D274C5" w:rsidRPr="0090720C" w:rsidRDefault="00D274C5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Концентрации ло</w:t>
      </w:r>
      <w:r w:rsidR="0082773D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в плазме крови у женщин с артериальной гипертензией в 2 раза превышали данные показатели у мужчин. Зависимости концентрации активного метаболита от пола не выявлено.</w:t>
      </w:r>
    </w:p>
    <w:p w14:paraId="5959893D" w14:textId="77777777" w:rsidR="00D274C5" w:rsidRPr="0090720C" w:rsidRDefault="00D274C5" w:rsidP="00385549">
      <w:pPr>
        <w:jc w:val="both"/>
        <w:rPr>
          <w:i/>
          <w:sz w:val="28"/>
          <w:szCs w:val="28"/>
        </w:rPr>
      </w:pPr>
      <w:r w:rsidRPr="0090720C">
        <w:rPr>
          <w:i/>
          <w:sz w:val="28"/>
          <w:szCs w:val="28"/>
        </w:rPr>
        <w:t>Нарушения функции печени и почек.</w:t>
      </w:r>
    </w:p>
    <w:p w14:paraId="5AF2D222" w14:textId="77777777" w:rsidR="00D274C5" w:rsidRPr="0090720C" w:rsidRDefault="00D274C5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Концентрации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и его активного метаболита в плазме крови у пациентов с нарушениями функции печени в 1,7–5 раз превышают эти показатели у пациентов с неизмененной функцией печени.</w:t>
      </w:r>
    </w:p>
    <w:p w14:paraId="30744E8D" w14:textId="77777777" w:rsidR="00D274C5" w:rsidRPr="0090720C" w:rsidRDefault="00D274C5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Концентрации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в плазме крови пациентов с клиренсом креатинина 10 мл/мин не отличались от таковых у здоровых пациентов. Площадь под кривой концентрации (ППК) у пациентов с тяжелыми нарушениями функции почек в 2 раза превышала ППК ло</w:t>
      </w:r>
      <w:r w:rsidR="0082773D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пациентов с нормальной функцией почек. Плазменные концентрации активного метаболита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при этом оставались неизменными. Ло</w:t>
      </w:r>
      <w:r w:rsidR="0082773D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 и его активный метаболит невозможно вывести с помощью гемодиализа.</w:t>
      </w:r>
    </w:p>
    <w:p w14:paraId="78F635C9" w14:textId="77777777" w:rsidR="00D274C5" w:rsidRPr="0090720C" w:rsidRDefault="00D274C5" w:rsidP="00385549">
      <w:pPr>
        <w:jc w:val="both"/>
        <w:rPr>
          <w:sz w:val="28"/>
          <w:szCs w:val="28"/>
          <w:u w:val="single"/>
        </w:rPr>
      </w:pPr>
      <w:r w:rsidRPr="0090720C">
        <w:rPr>
          <w:sz w:val="28"/>
          <w:szCs w:val="28"/>
          <w:u w:val="single"/>
        </w:rPr>
        <w:t>Фармакокинетика у детей.</w:t>
      </w:r>
    </w:p>
    <w:p w14:paraId="187A5390" w14:textId="77777777" w:rsidR="006D77D5" w:rsidRPr="0090720C" w:rsidRDefault="00D274C5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Активный метаболит ло</w:t>
      </w:r>
      <w:r w:rsidR="0082773D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образуется у пациентов всех возрастных групп. Показатели фармакокинетики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после перорального применения аналогичны у новорожденных и детей в возрасте от 2 лет, детей дошкольного, школьного возраста и подростков. Фармакокинетические показатели метаболита зависят более от возрастной группы, особенно при сравнении детей дошкольного возраста и подростков. Экспозиция у новорожденных и детей до 2 лет является сравнительно высокой</w:t>
      </w:r>
      <w:r w:rsidR="000308B1" w:rsidRPr="0090720C">
        <w:rPr>
          <w:sz w:val="28"/>
          <w:szCs w:val="28"/>
        </w:rPr>
        <w:t>.</w:t>
      </w:r>
    </w:p>
    <w:p w14:paraId="27E47263" w14:textId="77777777" w:rsidR="000308B1" w:rsidRPr="0090720C" w:rsidRDefault="000308B1" w:rsidP="00385549">
      <w:pPr>
        <w:jc w:val="both"/>
      </w:pPr>
    </w:p>
    <w:p w14:paraId="020506DA" w14:textId="77777777" w:rsidR="00775EFA" w:rsidRPr="0090720C" w:rsidRDefault="00775EFA" w:rsidP="00385549">
      <w:pPr>
        <w:jc w:val="both"/>
        <w:rPr>
          <w:b/>
          <w:sz w:val="28"/>
        </w:rPr>
      </w:pPr>
      <w:r w:rsidRPr="0090720C">
        <w:rPr>
          <w:b/>
          <w:sz w:val="28"/>
        </w:rPr>
        <w:t>Показания к применению</w:t>
      </w:r>
    </w:p>
    <w:p w14:paraId="15E4863B" w14:textId="77777777" w:rsidR="00AD4285" w:rsidRPr="0090720C" w:rsidRDefault="007E0D1B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- </w:t>
      </w:r>
      <w:r w:rsidR="00ED2D6D" w:rsidRPr="0090720C">
        <w:rPr>
          <w:sz w:val="28"/>
          <w:szCs w:val="28"/>
        </w:rPr>
        <w:t>Лечение эссенциальной гипертензии у взрослых</w:t>
      </w:r>
      <w:r w:rsidR="00AD4285" w:rsidRPr="0090720C">
        <w:rPr>
          <w:sz w:val="28"/>
          <w:szCs w:val="28"/>
        </w:rPr>
        <w:t>.</w:t>
      </w:r>
    </w:p>
    <w:p w14:paraId="7AFE3F47" w14:textId="77777777" w:rsidR="00ED2D6D" w:rsidRPr="0090720C" w:rsidRDefault="00385549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- </w:t>
      </w:r>
      <w:r w:rsidR="00ED2D6D" w:rsidRPr="0090720C">
        <w:rPr>
          <w:sz w:val="28"/>
          <w:szCs w:val="28"/>
        </w:rPr>
        <w:t>Лечение заболевания почек у взрослых пациентов, страдающих артериальной гипертензией и сахарным диабетом II типа с протеинурией ≥ 0,5 г/сутки – как часть антигипертензивной терапии.</w:t>
      </w:r>
    </w:p>
    <w:p w14:paraId="06CE8055" w14:textId="77777777" w:rsidR="00ED2D6D" w:rsidRPr="0090720C" w:rsidRDefault="007E0D1B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- </w:t>
      </w:r>
      <w:r w:rsidR="00ED2D6D" w:rsidRPr="0090720C">
        <w:rPr>
          <w:sz w:val="28"/>
          <w:szCs w:val="28"/>
        </w:rPr>
        <w:t xml:space="preserve">Лечение хронической сердечной недостаточности (у пациентов старше 60 лет) в случаях, когда применение ингибиторов ангиотензинпревращающего фермента (АПФ) считается невозможным вследствие непереносимости (особенно при кашле) или при наличии противопоказаний. Пациентам с сердечной недостаточностью, состояние которых при приеме ингибиторов АПФ стабильно, назначение </w:t>
      </w:r>
      <w:r w:rsidR="0082773D" w:rsidRPr="0090720C">
        <w:rPr>
          <w:sz w:val="28"/>
          <w:szCs w:val="28"/>
        </w:rPr>
        <w:t>КЛОСАРТА</w:t>
      </w:r>
      <w:r w:rsidR="0082773D" w:rsidRPr="0090720C">
        <w:rPr>
          <w:sz w:val="28"/>
          <w:szCs w:val="28"/>
          <w:vertAlign w:val="superscript"/>
        </w:rPr>
        <w:t>®</w:t>
      </w:r>
      <w:r w:rsidR="00ED2D6D" w:rsidRPr="0090720C">
        <w:rPr>
          <w:sz w:val="28"/>
          <w:szCs w:val="28"/>
        </w:rPr>
        <w:t xml:space="preserve"> не является целесообразным. У пациента фракция выброса левого желудочка должна составлять ≤ 40%, состояние должно быть клинически стабильным, также пациенту следует </w:t>
      </w:r>
      <w:r w:rsidR="00ED2D6D" w:rsidRPr="0090720C">
        <w:rPr>
          <w:sz w:val="28"/>
          <w:szCs w:val="28"/>
        </w:rPr>
        <w:lastRenderedPageBreak/>
        <w:t>придерживаться установленного режима лечения по поводу хронической сердечной недостаточности.</w:t>
      </w:r>
    </w:p>
    <w:p w14:paraId="3B1DE1F8" w14:textId="77777777" w:rsidR="00DE256D" w:rsidRPr="0090720C" w:rsidRDefault="007E0D1B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- </w:t>
      </w:r>
      <w:r w:rsidR="00ED2D6D" w:rsidRPr="0090720C">
        <w:rPr>
          <w:sz w:val="28"/>
          <w:szCs w:val="28"/>
        </w:rPr>
        <w:t>Снижение риска развития инсульта у взрослых пациентов с артериальной гипертензией и гипертрофией левого желудочка, подтвержденной ЭКГ</w:t>
      </w:r>
      <w:r w:rsidR="00DE256D" w:rsidRPr="0090720C">
        <w:rPr>
          <w:sz w:val="28"/>
          <w:szCs w:val="28"/>
        </w:rPr>
        <w:t xml:space="preserve">. </w:t>
      </w:r>
    </w:p>
    <w:p w14:paraId="0472BD91" w14:textId="77777777" w:rsidR="001A0E50" w:rsidRPr="0090720C" w:rsidRDefault="001A0E50" w:rsidP="00385549">
      <w:pPr>
        <w:jc w:val="both"/>
      </w:pPr>
    </w:p>
    <w:p w14:paraId="40DF0851" w14:textId="77777777" w:rsidR="00775EFA" w:rsidRPr="0090720C" w:rsidRDefault="00775EFA" w:rsidP="00385549">
      <w:pPr>
        <w:jc w:val="both"/>
        <w:rPr>
          <w:b/>
          <w:sz w:val="28"/>
        </w:rPr>
      </w:pPr>
      <w:r w:rsidRPr="0090720C">
        <w:rPr>
          <w:b/>
          <w:sz w:val="28"/>
        </w:rPr>
        <w:t xml:space="preserve">Способ применения и дозы </w:t>
      </w:r>
    </w:p>
    <w:p w14:paraId="474EDE72" w14:textId="77777777" w:rsidR="00ED2D6D" w:rsidRPr="0090720C" w:rsidRDefault="00ED2D6D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Таблетки принимать независимо от приема пищи, запивая 1 стаканом воды.</w:t>
      </w:r>
    </w:p>
    <w:p w14:paraId="37B89F25" w14:textId="77777777" w:rsidR="00ED2D6D" w:rsidRPr="0090720C" w:rsidRDefault="00ED2D6D" w:rsidP="00385549">
      <w:pPr>
        <w:jc w:val="both"/>
        <w:rPr>
          <w:i/>
          <w:sz w:val="28"/>
          <w:szCs w:val="28"/>
          <w:u w:val="single"/>
        </w:rPr>
      </w:pPr>
      <w:r w:rsidRPr="0090720C">
        <w:rPr>
          <w:i/>
          <w:sz w:val="28"/>
          <w:szCs w:val="28"/>
          <w:u w:val="single"/>
        </w:rPr>
        <w:t>Артериальная гипертензия</w:t>
      </w:r>
    </w:p>
    <w:p w14:paraId="40BE1F37" w14:textId="77777777" w:rsidR="00ED2D6D" w:rsidRPr="0090720C" w:rsidRDefault="00ED2D6D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Для большинства больных обычная начальная и поддерживающая доза </w:t>
      </w:r>
      <w:r w:rsidR="0082773D" w:rsidRPr="0090720C">
        <w:rPr>
          <w:sz w:val="28"/>
          <w:szCs w:val="28"/>
        </w:rPr>
        <w:t>КЛОСАРТА</w:t>
      </w:r>
      <w:r w:rsidR="0082773D" w:rsidRPr="0090720C">
        <w:rPr>
          <w:sz w:val="28"/>
          <w:szCs w:val="28"/>
          <w:vertAlign w:val="superscript"/>
        </w:rPr>
        <w:t>®</w:t>
      </w:r>
      <w:r w:rsidR="0082773D" w:rsidRPr="0090720C">
        <w:rPr>
          <w:sz w:val="28"/>
          <w:szCs w:val="28"/>
        </w:rPr>
        <w:t xml:space="preserve"> </w:t>
      </w:r>
      <w:r w:rsidRPr="0090720C">
        <w:rPr>
          <w:sz w:val="28"/>
          <w:szCs w:val="28"/>
        </w:rPr>
        <w:t>составляет 50 мг 1 раз в сутки. Максимальный антигипертензивный эффект достигается на 3–6 неделе от начала лечения. Для некоторых больных более благоприятным может оказаться повышение дозы препарата до 100 мг 1 раз в сутки (утром).</w:t>
      </w:r>
    </w:p>
    <w:p w14:paraId="58C0537A" w14:textId="77777777" w:rsidR="00ED2D6D" w:rsidRPr="0090720C" w:rsidRDefault="0082773D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КЛОСАРТ</w:t>
      </w:r>
      <w:r w:rsidR="00ED2D6D" w:rsidRPr="0090720C">
        <w:rPr>
          <w:sz w:val="28"/>
          <w:szCs w:val="28"/>
          <w:vertAlign w:val="superscript"/>
        </w:rPr>
        <w:t>®</w:t>
      </w:r>
      <w:r w:rsidR="00ED2D6D" w:rsidRPr="0090720C">
        <w:rPr>
          <w:sz w:val="28"/>
          <w:szCs w:val="28"/>
        </w:rPr>
        <w:t xml:space="preserve"> можно применять в сочетании с другими антигипертензивными препаратами, особенно с диуретиками (например, гидрохлоротиазидом).</w:t>
      </w:r>
    </w:p>
    <w:p w14:paraId="654F48A2" w14:textId="77777777" w:rsidR="00ED2D6D" w:rsidRPr="0090720C" w:rsidRDefault="00ED2D6D" w:rsidP="00385549">
      <w:pPr>
        <w:jc w:val="both"/>
        <w:rPr>
          <w:b/>
          <w:i/>
          <w:sz w:val="28"/>
          <w:szCs w:val="28"/>
          <w:u w:val="single"/>
          <w:vertAlign w:val="superscript"/>
        </w:rPr>
      </w:pPr>
      <w:r w:rsidRPr="0090720C">
        <w:rPr>
          <w:i/>
          <w:sz w:val="28"/>
          <w:szCs w:val="28"/>
          <w:u w:val="single"/>
        </w:rPr>
        <w:t>Пациенты с артериальной гипертензией, сахарным диабетом II типа и протеинурией (≥ 0,5 г/сутки).</w:t>
      </w:r>
    </w:p>
    <w:p w14:paraId="2DA25C79" w14:textId="77777777" w:rsidR="00ED2D6D" w:rsidRPr="0090720C" w:rsidRDefault="00ED2D6D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Обычно начальная доза </w:t>
      </w:r>
      <w:r w:rsidR="00437569" w:rsidRPr="0090720C">
        <w:rPr>
          <w:sz w:val="28"/>
          <w:szCs w:val="28"/>
        </w:rPr>
        <w:t>КЛОСАРТА</w:t>
      </w:r>
      <w:r w:rsidR="00437569" w:rsidRPr="0090720C">
        <w:rPr>
          <w:sz w:val="28"/>
          <w:szCs w:val="28"/>
          <w:vertAlign w:val="superscript"/>
        </w:rPr>
        <w:t>®</w:t>
      </w:r>
      <w:r w:rsidR="00437569" w:rsidRPr="0090720C">
        <w:rPr>
          <w:sz w:val="28"/>
          <w:szCs w:val="28"/>
        </w:rPr>
        <w:t xml:space="preserve"> </w:t>
      </w:r>
      <w:r w:rsidRPr="0090720C">
        <w:rPr>
          <w:sz w:val="28"/>
          <w:szCs w:val="28"/>
        </w:rPr>
        <w:t xml:space="preserve">составляет 50 мг 1 раз в сутки. Дозу можно увеличить до 100 мг 1 раз в сутки в зависимости от того, какие показатели артериального давления через 1 месяц после начала лечения. </w:t>
      </w:r>
      <w:r w:rsidR="00437569" w:rsidRPr="0090720C">
        <w:rPr>
          <w:sz w:val="28"/>
          <w:szCs w:val="28"/>
        </w:rPr>
        <w:t>КЛОСАРТ</w:t>
      </w:r>
      <w:r w:rsidRPr="0090720C">
        <w:rPr>
          <w:sz w:val="28"/>
          <w:szCs w:val="28"/>
          <w:vertAlign w:val="superscript"/>
        </w:rPr>
        <w:t>®</w:t>
      </w:r>
      <w:r w:rsidRPr="0090720C">
        <w:rPr>
          <w:sz w:val="28"/>
          <w:szCs w:val="28"/>
        </w:rPr>
        <w:t xml:space="preserve"> можно применять вместе с другими антигипертензивными средствами (диуретиками, блокаторами кальциевых каналов, блокаторами α- или β-рецепторов, препаратами центрального действия), а также с инсулином и другими гипогликемическими средствами (например, сульфонилмочевиной, глитазонами и ингибиторами глюкозидазы).</w:t>
      </w:r>
    </w:p>
    <w:p w14:paraId="48C25DD5" w14:textId="77777777" w:rsidR="00ED2D6D" w:rsidRPr="0090720C" w:rsidRDefault="00ED2D6D" w:rsidP="00385549">
      <w:pPr>
        <w:jc w:val="both"/>
        <w:rPr>
          <w:i/>
          <w:sz w:val="28"/>
          <w:szCs w:val="28"/>
          <w:u w:val="single"/>
        </w:rPr>
      </w:pPr>
      <w:r w:rsidRPr="0090720C">
        <w:rPr>
          <w:i/>
          <w:sz w:val="28"/>
          <w:szCs w:val="28"/>
          <w:u w:val="single"/>
        </w:rPr>
        <w:t>Сердечная недостаточность.</w:t>
      </w:r>
    </w:p>
    <w:p w14:paraId="63967FFB" w14:textId="77777777" w:rsidR="00ED2D6D" w:rsidRPr="0090720C" w:rsidRDefault="00ED2D6D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Обычно начальная доза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для пациентов с хронической сердечной недостаточностью составляет 12,5</w:t>
      </w:r>
      <w:r w:rsidR="00B965A8" w:rsidRPr="0090720C">
        <w:rPr>
          <w:sz w:val="28"/>
          <w:szCs w:val="28"/>
        </w:rPr>
        <w:t>*</w:t>
      </w:r>
      <w:r w:rsidRPr="0090720C">
        <w:rPr>
          <w:sz w:val="28"/>
          <w:szCs w:val="28"/>
        </w:rPr>
        <w:t xml:space="preserve"> мг 1 раз в сутки. Как правило, доза титрируется с недельным интервалом (то есть, 12,5</w:t>
      </w:r>
      <w:r w:rsidR="00B965A8" w:rsidRPr="0090720C">
        <w:rPr>
          <w:sz w:val="28"/>
          <w:szCs w:val="28"/>
        </w:rPr>
        <w:t>*</w:t>
      </w:r>
      <w:r w:rsidRPr="0090720C">
        <w:rPr>
          <w:sz w:val="28"/>
          <w:szCs w:val="28"/>
        </w:rPr>
        <w:t xml:space="preserve"> мг в сутки, 25 мг в сутки, 50 мг в сутки) до обычной поддерживающей дозы 50 мг (1 таблетка </w:t>
      </w:r>
      <w:r w:rsidR="00437569" w:rsidRPr="0090720C">
        <w:rPr>
          <w:sz w:val="28"/>
          <w:szCs w:val="28"/>
        </w:rPr>
        <w:t>КЛОСАРТА</w:t>
      </w:r>
      <w:r w:rsidR="00437569" w:rsidRPr="0090720C">
        <w:rPr>
          <w:sz w:val="28"/>
          <w:szCs w:val="28"/>
          <w:vertAlign w:val="superscript"/>
        </w:rPr>
        <w:t>®</w:t>
      </w:r>
      <w:r w:rsidR="00437569" w:rsidRPr="0090720C">
        <w:rPr>
          <w:sz w:val="28"/>
          <w:szCs w:val="28"/>
        </w:rPr>
        <w:t xml:space="preserve"> </w:t>
      </w:r>
      <w:r w:rsidRPr="0090720C">
        <w:rPr>
          <w:sz w:val="28"/>
          <w:szCs w:val="28"/>
        </w:rPr>
        <w:t>50 мг) 1 раз в сутки в зависимости от индивидуальной переносимости.</w:t>
      </w:r>
    </w:p>
    <w:p w14:paraId="1FB8A497" w14:textId="77777777" w:rsidR="00B965A8" w:rsidRPr="002A1EE5" w:rsidRDefault="00B965A8" w:rsidP="00B965A8">
      <w:pPr>
        <w:suppressAutoHyphens/>
        <w:autoSpaceDE w:val="0"/>
        <w:jc w:val="both"/>
      </w:pPr>
      <w:r w:rsidRPr="002A1EE5">
        <w:rPr>
          <w:lang w:val="uk-UA"/>
        </w:rPr>
        <w:t>*</w:t>
      </w:r>
      <w:proofErr w:type="spellStart"/>
      <w:r w:rsidRPr="002A1EE5">
        <w:rPr>
          <w:lang w:val="uk-UA"/>
        </w:rPr>
        <w:t>Поскольку</w:t>
      </w:r>
      <w:proofErr w:type="spellEnd"/>
      <w:r w:rsidRPr="002A1EE5">
        <w:rPr>
          <w:lang w:val="uk-UA"/>
        </w:rPr>
        <w:t xml:space="preserve"> таблетка не </w:t>
      </w:r>
      <w:proofErr w:type="spellStart"/>
      <w:r w:rsidRPr="002A1EE5">
        <w:rPr>
          <w:lang w:val="uk-UA"/>
        </w:rPr>
        <w:t>делится</w:t>
      </w:r>
      <w:proofErr w:type="spellEnd"/>
      <w:r w:rsidRPr="002A1EE5">
        <w:rPr>
          <w:lang w:val="uk-UA" w:eastAsia="ar-SA"/>
        </w:rPr>
        <w:t xml:space="preserve">, в </w:t>
      </w:r>
      <w:proofErr w:type="spellStart"/>
      <w:r w:rsidRPr="002A1EE5">
        <w:rPr>
          <w:lang w:val="uk-UA" w:eastAsia="ar-SA"/>
        </w:rPr>
        <w:t>случае</w:t>
      </w:r>
      <w:proofErr w:type="spellEnd"/>
      <w:r w:rsidRPr="002A1EE5">
        <w:rPr>
          <w:lang w:val="uk-UA" w:eastAsia="ar-SA"/>
        </w:rPr>
        <w:t xml:space="preserve"> </w:t>
      </w:r>
      <w:proofErr w:type="spellStart"/>
      <w:r w:rsidRPr="002A1EE5">
        <w:rPr>
          <w:lang w:val="uk-UA" w:eastAsia="ar-SA"/>
        </w:rPr>
        <w:t>назначения</w:t>
      </w:r>
      <w:proofErr w:type="spellEnd"/>
      <w:r w:rsidRPr="002A1EE5">
        <w:rPr>
          <w:lang w:val="uk-UA" w:eastAsia="ar-SA"/>
        </w:rPr>
        <w:t xml:space="preserve"> </w:t>
      </w:r>
      <w:proofErr w:type="spellStart"/>
      <w:r w:rsidRPr="002A1EE5">
        <w:rPr>
          <w:lang w:val="uk-UA" w:eastAsia="ar-SA"/>
        </w:rPr>
        <w:t>препарата</w:t>
      </w:r>
      <w:proofErr w:type="spellEnd"/>
      <w:r w:rsidRPr="002A1EE5">
        <w:rPr>
          <w:lang w:val="uk-UA" w:eastAsia="ar-SA"/>
        </w:rPr>
        <w:t xml:space="preserve"> в </w:t>
      </w:r>
      <w:proofErr w:type="spellStart"/>
      <w:r w:rsidRPr="002A1EE5">
        <w:rPr>
          <w:lang w:val="uk-UA" w:eastAsia="ar-SA"/>
        </w:rPr>
        <w:t>дозе</w:t>
      </w:r>
      <w:proofErr w:type="spellEnd"/>
      <w:r w:rsidRPr="002A1EE5">
        <w:rPr>
          <w:lang w:val="uk-UA" w:eastAsia="ar-SA"/>
        </w:rPr>
        <w:t xml:space="preserve"> </w:t>
      </w:r>
      <w:proofErr w:type="spellStart"/>
      <w:r w:rsidRPr="002A1EE5">
        <w:rPr>
          <w:lang w:val="uk-UA" w:eastAsia="ar-SA"/>
        </w:rPr>
        <w:t>меньше</w:t>
      </w:r>
      <w:proofErr w:type="spellEnd"/>
      <w:r w:rsidRPr="002A1EE5">
        <w:rPr>
          <w:lang w:val="uk-UA" w:eastAsia="ar-SA"/>
        </w:rPr>
        <w:t xml:space="preserve"> 25 мг </w:t>
      </w:r>
      <w:proofErr w:type="spellStart"/>
      <w:r w:rsidRPr="002A1EE5">
        <w:rPr>
          <w:lang w:val="uk-UA" w:eastAsia="ar-SA"/>
        </w:rPr>
        <w:t>следует</w:t>
      </w:r>
      <w:proofErr w:type="spellEnd"/>
      <w:r w:rsidRPr="002A1EE5">
        <w:rPr>
          <w:lang w:val="uk-UA" w:eastAsia="ar-SA"/>
        </w:rPr>
        <w:t xml:space="preserve"> </w:t>
      </w:r>
      <w:proofErr w:type="spellStart"/>
      <w:r w:rsidRPr="002A1EE5">
        <w:rPr>
          <w:lang w:val="uk-UA" w:eastAsia="ar-SA"/>
        </w:rPr>
        <w:t>использовать</w:t>
      </w:r>
      <w:proofErr w:type="spellEnd"/>
      <w:r w:rsidRPr="002A1EE5">
        <w:rPr>
          <w:lang w:val="uk-UA" w:eastAsia="ar-SA"/>
        </w:rPr>
        <w:t xml:space="preserve"> </w:t>
      </w:r>
      <w:proofErr w:type="spellStart"/>
      <w:r w:rsidRPr="002A1EE5">
        <w:rPr>
          <w:lang w:val="uk-UA" w:eastAsia="ar-SA"/>
        </w:rPr>
        <w:t>препараты</w:t>
      </w:r>
      <w:proofErr w:type="spellEnd"/>
      <w:r w:rsidRPr="002A1EE5">
        <w:rPr>
          <w:lang w:val="uk-UA" w:eastAsia="ar-SA"/>
        </w:rPr>
        <w:t xml:space="preserve"> </w:t>
      </w:r>
      <w:proofErr w:type="spellStart"/>
      <w:r w:rsidRPr="002A1EE5">
        <w:rPr>
          <w:lang w:val="uk-UA" w:eastAsia="ar-SA"/>
        </w:rPr>
        <w:t>лозартана</w:t>
      </w:r>
      <w:proofErr w:type="spellEnd"/>
      <w:r w:rsidRPr="002A1EE5">
        <w:rPr>
          <w:lang w:val="uk-UA" w:eastAsia="ar-SA"/>
        </w:rPr>
        <w:t xml:space="preserve"> с </w:t>
      </w:r>
      <w:proofErr w:type="spellStart"/>
      <w:r w:rsidRPr="002A1EE5">
        <w:rPr>
          <w:lang w:val="uk-UA" w:eastAsia="ar-SA"/>
        </w:rPr>
        <w:t>возможностью</w:t>
      </w:r>
      <w:proofErr w:type="spellEnd"/>
      <w:r w:rsidRPr="002A1EE5">
        <w:rPr>
          <w:lang w:val="uk-UA" w:eastAsia="ar-SA"/>
        </w:rPr>
        <w:t xml:space="preserve"> такого </w:t>
      </w:r>
      <w:proofErr w:type="spellStart"/>
      <w:r w:rsidRPr="002A1EE5">
        <w:rPr>
          <w:lang w:val="uk-UA" w:eastAsia="ar-SA"/>
        </w:rPr>
        <w:t>дозирования</w:t>
      </w:r>
      <w:proofErr w:type="spellEnd"/>
      <w:r w:rsidRPr="002A1EE5">
        <w:rPr>
          <w:lang w:val="uk-UA" w:eastAsia="ar-SA"/>
        </w:rPr>
        <w:t>.</w:t>
      </w:r>
    </w:p>
    <w:p w14:paraId="098EF79F" w14:textId="77777777" w:rsidR="00017E9B" w:rsidRPr="0090720C" w:rsidRDefault="00017E9B" w:rsidP="00385549">
      <w:pPr>
        <w:jc w:val="both"/>
        <w:rPr>
          <w:sz w:val="28"/>
          <w:szCs w:val="28"/>
        </w:rPr>
      </w:pPr>
    </w:p>
    <w:p w14:paraId="4CBE3C2B" w14:textId="77777777" w:rsidR="00ED2D6D" w:rsidRPr="0090720C" w:rsidRDefault="00ED2D6D" w:rsidP="00385549">
      <w:pPr>
        <w:jc w:val="both"/>
        <w:rPr>
          <w:i/>
          <w:sz w:val="28"/>
          <w:szCs w:val="28"/>
          <w:u w:val="single"/>
        </w:rPr>
      </w:pPr>
      <w:r w:rsidRPr="0090720C">
        <w:rPr>
          <w:i/>
          <w:sz w:val="28"/>
          <w:szCs w:val="28"/>
          <w:u w:val="single"/>
        </w:rPr>
        <w:t>Снижение риска развития инсульта у пациентов с артериальной гипертензией и гипертрофией левого желудочка, подтвержденной документально с помощью ЭКГ.</w:t>
      </w:r>
    </w:p>
    <w:p w14:paraId="39171A4F" w14:textId="77777777" w:rsidR="00ED2D6D" w:rsidRPr="0090720C" w:rsidRDefault="00ED2D6D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Обычно начальная доза составляет 50 мг 1 раз в сутки. В зависимости от изменений уровня артериального давления может быть необходимо назначение гидрохлоротиазида в низкой дозе и/или дозу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следует увеличить до 100 мг 1 раз в сутки.</w:t>
      </w:r>
    </w:p>
    <w:p w14:paraId="465916A0" w14:textId="77777777" w:rsidR="00ED2D6D" w:rsidRPr="0090720C" w:rsidRDefault="00ED2D6D" w:rsidP="00385549">
      <w:pPr>
        <w:jc w:val="both"/>
        <w:rPr>
          <w:sz w:val="28"/>
          <w:szCs w:val="28"/>
          <w:u w:val="single"/>
        </w:rPr>
      </w:pPr>
      <w:r w:rsidRPr="0090720C">
        <w:rPr>
          <w:sz w:val="28"/>
          <w:szCs w:val="28"/>
          <w:u w:val="single"/>
        </w:rPr>
        <w:t>Отдельные группы пациентов.</w:t>
      </w:r>
    </w:p>
    <w:p w14:paraId="62C5CE5E" w14:textId="77777777" w:rsidR="00ED2D6D" w:rsidRPr="0090720C" w:rsidRDefault="00ED2D6D" w:rsidP="00385549">
      <w:pPr>
        <w:jc w:val="both"/>
        <w:rPr>
          <w:i/>
          <w:sz w:val="28"/>
          <w:szCs w:val="28"/>
        </w:rPr>
      </w:pPr>
      <w:r w:rsidRPr="0090720C">
        <w:rPr>
          <w:i/>
          <w:sz w:val="28"/>
          <w:szCs w:val="28"/>
        </w:rPr>
        <w:t>Применение пациентам со сниженным объемом циркулирующей крови.</w:t>
      </w:r>
    </w:p>
    <w:p w14:paraId="598AC89C" w14:textId="77777777" w:rsidR="00ED2D6D" w:rsidRPr="0090720C" w:rsidRDefault="00ED2D6D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lastRenderedPageBreak/>
        <w:t>Для пациентов со сниженным объемом циркулирующей крови (например, вследствие применения высоких доз диуретиков) начинать терапию необходимо с дозы 25 мг 1 раз в сутки.</w:t>
      </w:r>
    </w:p>
    <w:p w14:paraId="3C3EE80E" w14:textId="77777777" w:rsidR="00ED2D6D" w:rsidRPr="0090720C" w:rsidRDefault="00ED2D6D" w:rsidP="00385549">
      <w:pPr>
        <w:jc w:val="both"/>
        <w:rPr>
          <w:i/>
          <w:sz w:val="28"/>
          <w:szCs w:val="28"/>
        </w:rPr>
      </w:pPr>
      <w:r w:rsidRPr="0090720C">
        <w:rPr>
          <w:i/>
          <w:sz w:val="28"/>
          <w:szCs w:val="28"/>
        </w:rPr>
        <w:t>Применение пациентам с почечной недостаточностью и пациентам, которым проводят гемодиализ.</w:t>
      </w:r>
    </w:p>
    <w:p w14:paraId="545943B1" w14:textId="77777777" w:rsidR="00ED2D6D" w:rsidRPr="0090720C" w:rsidRDefault="00ED2D6D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При назначении </w:t>
      </w:r>
      <w:r w:rsidR="00437569" w:rsidRPr="0090720C">
        <w:rPr>
          <w:sz w:val="28"/>
          <w:szCs w:val="28"/>
        </w:rPr>
        <w:t>КЛОСАРТА</w:t>
      </w:r>
      <w:r w:rsidR="00437569" w:rsidRPr="0090720C">
        <w:rPr>
          <w:sz w:val="28"/>
          <w:szCs w:val="28"/>
          <w:vertAlign w:val="superscript"/>
        </w:rPr>
        <w:t>®</w:t>
      </w:r>
      <w:r w:rsidR="00437569" w:rsidRPr="0090720C">
        <w:rPr>
          <w:sz w:val="28"/>
          <w:szCs w:val="28"/>
        </w:rPr>
        <w:t xml:space="preserve"> </w:t>
      </w:r>
      <w:r w:rsidRPr="0090720C">
        <w:rPr>
          <w:sz w:val="28"/>
          <w:szCs w:val="28"/>
        </w:rPr>
        <w:t>пациентам с нарушением функции почек, а также пациентам, которым проводят гемодиализ, начальную коррекцию дозы проводить не нужно.</w:t>
      </w:r>
    </w:p>
    <w:p w14:paraId="7F86B8A3" w14:textId="77777777" w:rsidR="00ED2D6D" w:rsidRPr="0090720C" w:rsidRDefault="00ED2D6D" w:rsidP="00385549">
      <w:pPr>
        <w:jc w:val="both"/>
        <w:rPr>
          <w:i/>
          <w:sz w:val="28"/>
          <w:szCs w:val="28"/>
        </w:rPr>
      </w:pPr>
      <w:r w:rsidRPr="0090720C">
        <w:rPr>
          <w:i/>
          <w:sz w:val="28"/>
          <w:szCs w:val="28"/>
        </w:rPr>
        <w:t>Применение пациентам с нарушением функции печени в анамнезе.</w:t>
      </w:r>
    </w:p>
    <w:p w14:paraId="6E662F29" w14:textId="77777777" w:rsidR="00ED2D6D" w:rsidRPr="0090720C" w:rsidRDefault="00ED2D6D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Для пациентов с нарушением функции печени в анамнезе следует рассмотреть вопрос о назначении препарата в меньшей дозе. Нет опыта лечения пациентов с тяжелыми нарушениями функции печени, поэтому </w:t>
      </w:r>
      <w:r w:rsidR="00437569" w:rsidRPr="0090720C">
        <w:rPr>
          <w:sz w:val="28"/>
          <w:szCs w:val="28"/>
        </w:rPr>
        <w:t>КЛОСАРТ</w:t>
      </w:r>
      <w:r w:rsidRPr="0090720C">
        <w:rPr>
          <w:sz w:val="28"/>
          <w:szCs w:val="28"/>
          <w:vertAlign w:val="superscript"/>
        </w:rPr>
        <w:t>®</w:t>
      </w:r>
      <w:r w:rsidRPr="0090720C">
        <w:rPr>
          <w:sz w:val="28"/>
          <w:szCs w:val="28"/>
        </w:rPr>
        <w:t xml:space="preserve"> противопоказан этой группе пациентов.</w:t>
      </w:r>
    </w:p>
    <w:p w14:paraId="612C321A" w14:textId="77777777" w:rsidR="00ED2D6D" w:rsidRPr="0090720C" w:rsidRDefault="00ED2D6D" w:rsidP="00385549">
      <w:pPr>
        <w:jc w:val="both"/>
        <w:rPr>
          <w:i/>
          <w:sz w:val="28"/>
          <w:szCs w:val="28"/>
        </w:rPr>
      </w:pPr>
      <w:r w:rsidRPr="0090720C">
        <w:rPr>
          <w:i/>
          <w:sz w:val="28"/>
          <w:szCs w:val="28"/>
        </w:rPr>
        <w:t>Применение пациентам в возрасте от 75 лет.</w:t>
      </w:r>
    </w:p>
    <w:p w14:paraId="778AF32C" w14:textId="77777777" w:rsidR="00496B07" w:rsidRPr="0090720C" w:rsidRDefault="00ED2D6D" w:rsidP="00385549">
      <w:pPr>
        <w:jc w:val="both"/>
        <w:rPr>
          <w:b/>
          <w:sz w:val="28"/>
          <w:szCs w:val="28"/>
        </w:rPr>
      </w:pPr>
      <w:r w:rsidRPr="0090720C">
        <w:rPr>
          <w:sz w:val="28"/>
          <w:szCs w:val="28"/>
        </w:rPr>
        <w:t>Терапию следует начинать с дозы 25 мг 1 раз в сутки. Коррекция дозы обычно не нужна</w:t>
      </w:r>
      <w:r w:rsidR="00350D53" w:rsidRPr="0090720C">
        <w:rPr>
          <w:sz w:val="28"/>
          <w:szCs w:val="28"/>
        </w:rPr>
        <w:t>.</w:t>
      </w:r>
    </w:p>
    <w:p w14:paraId="289FD61F" w14:textId="77777777" w:rsidR="00083837" w:rsidRPr="0090720C" w:rsidRDefault="00083837" w:rsidP="00385549">
      <w:pPr>
        <w:jc w:val="both"/>
      </w:pPr>
    </w:p>
    <w:p w14:paraId="16E635E9" w14:textId="77777777" w:rsidR="00CE01A0" w:rsidRPr="0090720C" w:rsidRDefault="00775EFA" w:rsidP="00385549">
      <w:pPr>
        <w:jc w:val="both"/>
        <w:rPr>
          <w:b/>
          <w:sz w:val="28"/>
        </w:rPr>
      </w:pPr>
      <w:r w:rsidRPr="0090720C">
        <w:rPr>
          <w:b/>
          <w:sz w:val="28"/>
        </w:rPr>
        <w:t>Побочные действия</w:t>
      </w:r>
    </w:p>
    <w:p w14:paraId="18AEEC89" w14:textId="77777777" w:rsidR="005F7045" w:rsidRPr="0090720C" w:rsidRDefault="00A52585" w:rsidP="00385549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Побочные реакции</w:t>
      </w:r>
      <w:r w:rsidR="00083837" w:rsidRPr="0090720C">
        <w:rPr>
          <w:sz w:val="28"/>
          <w:szCs w:val="28"/>
        </w:rPr>
        <w:t xml:space="preserve"> представлены со следующей частотой: </w:t>
      </w:r>
    </w:p>
    <w:p w14:paraId="09B502CA" w14:textId="77777777" w:rsidR="00C327E6" w:rsidRPr="0090720C" w:rsidRDefault="00A52585" w:rsidP="00CA0AC9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очень частые</w:t>
      </w:r>
      <w:r w:rsidR="002B7B33"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 (&gt;1/10), </w:t>
      </w: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частые (от ≥ 1/100 до </w:t>
      </w:r>
      <w:proofErr w:type="gramStart"/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&lt; 1</w:t>
      </w:r>
      <w:proofErr w:type="gramEnd"/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/10), нечасты</w:t>
      </w:r>
      <w:r w:rsidR="00781B49" w:rsidRPr="009072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B7B33"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 (от </w:t>
      </w:r>
      <w:r w:rsidR="00FD4AA6" w:rsidRPr="0090720C">
        <w:rPr>
          <w:rFonts w:ascii="Times New Roman" w:eastAsia="Times New Roman" w:hAnsi="Times New Roman"/>
          <w:sz w:val="28"/>
          <w:szCs w:val="28"/>
          <w:lang w:eastAsia="ru-RU"/>
        </w:rPr>
        <w:t>≥</w:t>
      </w:r>
      <w:r w:rsidR="00781B49"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 1/1000 до &lt; 1/100), редкие</w:t>
      </w:r>
      <w:r w:rsidR="002B7B33"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 (от </w:t>
      </w:r>
      <w:r w:rsidR="00FD4AA6" w:rsidRPr="0090720C">
        <w:rPr>
          <w:rFonts w:ascii="Times New Roman" w:eastAsia="Times New Roman" w:hAnsi="Times New Roman"/>
          <w:sz w:val="28"/>
          <w:szCs w:val="28"/>
          <w:lang w:eastAsia="ru-RU"/>
        </w:rPr>
        <w:t>≥</w:t>
      </w:r>
      <w:r w:rsidR="002B7B33"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781B49" w:rsidRPr="0090720C">
        <w:rPr>
          <w:rFonts w:ascii="Times New Roman" w:eastAsia="Times New Roman" w:hAnsi="Times New Roman"/>
          <w:sz w:val="28"/>
          <w:szCs w:val="28"/>
          <w:lang w:eastAsia="ru-RU"/>
        </w:rPr>
        <w:t>/10000 до &lt; 1/1000), очень редкие</w:t>
      </w:r>
      <w:r w:rsidR="002B7B33"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 (&lt; 1/10000) и </w:t>
      </w:r>
      <w:r w:rsidR="00781B49" w:rsidRPr="0090720C">
        <w:rPr>
          <w:rFonts w:ascii="Times New Roman" w:eastAsia="Times New Roman" w:hAnsi="Times New Roman"/>
          <w:sz w:val="28"/>
          <w:szCs w:val="28"/>
          <w:lang w:eastAsia="ru-RU"/>
        </w:rPr>
        <w:t>частота неизвестна</w:t>
      </w:r>
      <w:r w:rsidR="002B7B33"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 (час</w:t>
      </w:r>
      <w:r w:rsidR="000C2FD2">
        <w:rPr>
          <w:rFonts w:ascii="Times New Roman" w:eastAsia="Times New Roman" w:hAnsi="Times New Roman"/>
          <w:sz w:val="28"/>
          <w:szCs w:val="28"/>
          <w:lang w:eastAsia="ru-RU"/>
        </w:rPr>
        <w:t>тота не может быть определена).</w:t>
      </w:r>
    </w:p>
    <w:p w14:paraId="0038A9A6" w14:textId="77777777" w:rsidR="00AA3746" w:rsidRDefault="003A409A" w:rsidP="003A409A">
      <w:pPr>
        <w:jc w:val="both"/>
        <w:rPr>
          <w:i/>
          <w:sz w:val="28"/>
          <w:szCs w:val="28"/>
        </w:rPr>
      </w:pPr>
      <w:r w:rsidRPr="0090720C">
        <w:rPr>
          <w:i/>
          <w:sz w:val="28"/>
          <w:szCs w:val="28"/>
        </w:rPr>
        <w:t>Част</w:t>
      </w:r>
      <w:r w:rsidR="00116F46">
        <w:rPr>
          <w:i/>
          <w:sz w:val="28"/>
          <w:szCs w:val="28"/>
        </w:rPr>
        <w:t>о</w:t>
      </w:r>
      <w:r w:rsidR="00AA3746">
        <w:rPr>
          <w:i/>
          <w:sz w:val="28"/>
          <w:szCs w:val="28"/>
        </w:rPr>
        <w:t xml:space="preserve"> </w:t>
      </w:r>
    </w:p>
    <w:p w14:paraId="18D0E381" w14:textId="77777777" w:rsidR="003A409A" w:rsidRDefault="00AA3746" w:rsidP="003A4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409A" w:rsidRPr="0090720C">
        <w:rPr>
          <w:sz w:val="28"/>
          <w:szCs w:val="28"/>
        </w:rPr>
        <w:t>тромбоцитопения</w:t>
      </w:r>
    </w:p>
    <w:p w14:paraId="20B4870F" w14:textId="77777777" w:rsidR="002A1EE5" w:rsidRPr="0090720C" w:rsidRDefault="002A1EE5" w:rsidP="002A1EE5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F1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мышечные судороги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головокружение</w:t>
      </w:r>
    </w:p>
    <w:p w14:paraId="48AE1F53" w14:textId="77777777" w:rsidR="002A1EE5" w:rsidRPr="0090720C" w:rsidRDefault="002A1EE5" w:rsidP="002A1EE5">
      <w:pPr>
        <w:pStyle w:val="ae"/>
        <w:rPr>
          <w:rFonts w:ascii="Times New Roman" w:hAnsi="Times New Roman"/>
          <w:sz w:val="28"/>
          <w:szCs w:val="28"/>
        </w:rPr>
      </w:pPr>
      <w:r w:rsidRPr="00F95F17">
        <w:rPr>
          <w:rFonts w:ascii="Times New Roman" w:hAnsi="Times New Roman"/>
          <w:sz w:val="28"/>
          <w:szCs w:val="28"/>
          <w:lang w:val="kk-KZ"/>
        </w:rPr>
        <w:t>-</w:t>
      </w:r>
      <w:r w:rsidRPr="00F95F17">
        <w:rPr>
          <w:rFonts w:ascii="Times New Roman" w:hAnsi="Times New Roman"/>
          <w:sz w:val="28"/>
          <w:szCs w:val="28"/>
        </w:rPr>
        <w:t xml:space="preserve"> </w:t>
      </w:r>
      <w:r w:rsidR="00116F46">
        <w:rPr>
          <w:rFonts w:ascii="Times New Roman" w:hAnsi="Times New Roman"/>
          <w:sz w:val="28"/>
          <w:szCs w:val="28"/>
        </w:rPr>
        <w:t>головокружение (вертиго)</w:t>
      </w:r>
    </w:p>
    <w:p w14:paraId="5AF48D24" w14:textId="77777777" w:rsidR="002A1EE5" w:rsidRPr="0090720C" w:rsidRDefault="002A1EE5" w:rsidP="002A1EE5">
      <w:pPr>
        <w:pStyle w:val="ae"/>
        <w:rPr>
          <w:rFonts w:ascii="Times New Roman" w:hAnsi="Times New Roman"/>
          <w:i/>
          <w:sz w:val="28"/>
          <w:szCs w:val="28"/>
        </w:rPr>
      </w:pPr>
      <w:r w:rsidRPr="00F95F17">
        <w:rPr>
          <w:rFonts w:ascii="Times New Roman" w:hAnsi="Times New Roman"/>
          <w:sz w:val="28"/>
          <w:szCs w:val="28"/>
          <w:lang w:val="kk-KZ"/>
        </w:rPr>
        <w:t>-</w:t>
      </w:r>
      <w:r w:rsidRPr="00F95F17">
        <w:rPr>
          <w:rFonts w:ascii="Times New Roman" w:hAnsi="Times New Roman"/>
          <w:sz w:val="28"/>
          <w:szCs w:val="28"/>
        </w:rPr>
        <w:t xml:space="preserve"> </w:t>
      </w:r>
      <w:r w:rsidR="00116F46">
        <w:rPr>
          <w:rFonts w:ascii="Times New Roman" w:hAnsi="Times New Roman"/>
          <w:sz w:val="28"/>
          <w:szCs w:val="28"/>
        </w:rPr>
        <w:t>тахикардия</w:t>
      </w:r>
    </w:p>
    <w:p w14:paraId="72D77DAF" w14:textId="77777777" w:rsidR="002A1EE5" w:rsidRPr="0090720C" w:rsidRDefault="002A1EE5" w:rsidP="002A1EE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95F17">
        <w:rPr>
          <w:rFonts w:ascii="Times New Roman" w:hAnsi="Times New Roman"/>
          <w:sz w:val="28"/>
          <w:szCs w:val="28"/>
          <w:lang w:val="kk-KZ"/>
        </w:rPr>
        <w:t>-</w:t>
      </w:r>
      <w:r w:rsidRPr="00F95F17">
        <w:rPr>
          <w:rFonts w:ascii="Times New Roman" w:hAnsi="Times New Roman"/>
          <w:sz w:val="28"/>
          <w:szCs w:val="28"/>
        </w:rPr>
        <w:t xml:space="preserve"> </w:t>
      </w:r>
      <w:r w:rsidRPr="0090720C">
        <w:rPr>
          <w:rFonts w:ascii="Times New Roman" w:hAnsi="Times New Roman"/>
          <w:sz w:val="28"/>
          <w:szCs w:val="28"/>
        </w:rPr>
        <w:t>ортостатическая гипотензия, в том числе дозозав</w:t>
      </w:r>
      <w:r w:rsidR="00116F46">
        <w:rPr>
          <w:rFonts w:ascii="Times New Roman" w:hAnsi="Times New Roman"/>
          <w:sz w:val="28"/>
          <w:szCs w:val="28"/>
        </w:rPr>
        <w:t>исимый ортостатический эффект*</w:t>
      </w:r>
    </w:p>
    <w:p w14:paraId="4FFD9A16" w14:textId="77777777" w:rsidR="002A1EE5" w:rsidRPr="0090720C" w:rsidRDefault="002A1EE5" w:rsidP="002A1EE5">
      <w:pPr>
        <w:jc w:val="both"/>
        <w:rPr>
          <w:bCs/>
          <w:spacing w:val="-1"/>
          <w:sz w:val="22"/>
          <w:szCs w:val="22"/>
        </w:rPr>
      </w:pPr>
      <w:r w:rsidRPr="0090720C">
        <w:rPr>
          <w:sz w:val="22"/>
          <w:szCs w:val="22"/>
          <w:vertAlign w:val="superscript"/>
        </w:rPr>
        <w:sym w:font="Symbol" w:char="F02A"/>
      </w:r>
      <w:r w:rsidRPr="0090720C">
        <w:rPr>
          <w:bCs/>
          <w:spacing w:val="-1"/>
          <w:sz w:val="22"/>
          <w:szCs w:val="22"/>
        </w:rPr>
        <w:t>Особенно у пациентов с внутрисосудистой дегидратацией (например, в случае тяжелой сердечной недостаточности или при лечении диуретиками в высоких дозах).</w:t>
      </w:r>
    </w:p>
    <w:p w14:paraId="4F0D0D0A" w14:textId="77777777" w:rsidR="002A1EE5" w:rsidRPr="0090720C" w:rsidRDefault="002A1EE5" w:rsidP="002A1EE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90720C">
        <w:rPr>
          <w:rFonts w:ascii="Times New Roman" w:hAnsi="Times New Roman"/>
          <w:sz w:val="28"/>
          <w:szCs w:val="28"/>
        </w:rPr>
        <w:t xml:space="preserve"> насморк, синусит, фарингит, инф</w:t>
      </w:r>
      <w:r w:rsidR="00116F46">
        <w:rPr>
          <w:rFonts w:ascii="Times New Roman" w:hAnsi="Times New Roman"/>
          <w:sz w:val="28"/>
          <w:szCs w:val="28"/>
        </w:rPr>
        <w:t>екции верхних дыхательных путей</w:t>
      </w:r>
    </w:p>
    <w:p w14:paraId="42BA2AAD" w14:textId="77777777" w:rsidR="002A1EE5" w:rsidRPr="0090720C" w:rsidRDefault="002A1EE5" w:rsidP="002A1EE5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Pr="009072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функции 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>почек, почечная недостаточность</w:t>
      </w:r>
    </w:p>
    <w:p w14:paraId="7B03F3DA" w14:textId="77777777" w:rsidR="002A1EE5" w:rsidRPr="0090720C" w:rsidRDefault="002A1EE5" w:rsidP="002A1EE5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 xml:space="preserve"> астения, слабость отеки</w:t>
      </w:r>
    </w:p>
    <w:p w14:paraId="61AEFD8F" w14:textId="77777777" w:rsidR="000C2FD2" w:rsidRDefault="002A1EE5" w:rsidP="000C2FD2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гипогликемия, гиперкалиемия, пов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>ышение уровня мочевины в крови</w:t>
      </w:r>
    </w:p>
    <w:p w14:paraId="11425176" w14:textId="77777777" w:rsidR="002A1EE5" w:rsidRPr="0083050A" w:rsidRDefault="000C2FD2" w:rsidP="000C2FD2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A1EE5" w:rsidRPr="0090720C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креатинина и калия в сыворотке</w:t>
      </w:r>
    </w:p>
    <w:p w14:paraId="383BCEAB" w14:textId="77777777" w:rsidR="00F95F17" w:rsidRDefault="00116F46" w:rsidP="003A409A">
      <w:pPr>
        <w:pStyle w:val="ad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Нечасто</w:t>
      </w:r>
    </w:p>
    <w:p w14:paraId="697455CD" w14:textId="77777777" w:rsidR="003A409A" w:rsidRDefault="00F95F17" w:rsidP="003A409A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F17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="003A409A" w:rsidRPr="00F95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09A" w:rsidRPr="0090720C">
        <w:rPr>
          <w:rFonts w:ascii="Times New Roman" w:eastAsia="Times New Roman" w:hAnsi="Times New Roman"/>
          <w:sz w:val="28"/>
          <w:szCs w:val="28"/>
          <w:lang w:eastAsia="ru-RU"/>
        </w:rPr>
        <w:t>сонливость, головная боль, нарушения сна</w:t>
      </w:r>
    </w:p>
    <w:p w14:paraId="2F0C97F4" w14:textId="77777777" w:rsidR="000C2FD2" w:rsidRPr="00F95F17" w:rsidRDefault="000C2FD2" w:rsidP="000C2FD2">
      <w:pPr>
        <w:pStyle w:val="a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F95F17">
        <w:rPr>
          <w:rFonts w:ascii="Times New Roman" w:hAnsi="Times New Roman"/>
          <w:sz w:val="28"/>
          <w:szCs w:val="28"/>
          <w:lang w:val="kk-KZ"/>
        </w:rPr>
        <w:t>ощущение сердцеби</w:t>
      </w:r>
      <w:r w:rsidR="00116F46">
        <w:rPr>
          <w:rFonts w:ascii="Times New Roman" w:hAnsi="Times New Roman"/>
          <w:sz w:val="28"/>
          <w:szCs w:val="28"/>
          <w:lang w:val="kk-KZ"/>
        </w:rPr>
        <w:t>ения (пальпитация), стенокардия</w:t>
      </w:r>
    </w:p>
    <w:p w14:paraId="112E367F" w14:textId="77777777" w:rsidR="000C2FD2" w:rsidRPr="0090720C" w:rsidRDefault="000C2FD2" w:rsidP="000C2FD2">
      <w:pPr>
        <w:pStyle w:val="ae"/>
        <w:rPr>
          <w:rFonts w:ascii="Times New Roman" w:hAnsi="Times New Roman"/>
          <w:i/>
          <w:sz w:val="28"/>
          <w:szCs w:val="28"/>
        </w:rPr>
      </w:pPr>
      <w:r w:rsidRPr="00F95F17">
        <w:rPr>
          <w:rFonts w:ascii="Times New Roman" w:hAnsi="Times New Roman"/>
          <w:sz w:val="28"/>
          <w:szCs w:val="28"/>
          <w:lang w:val="kk-KZ"/>
        </w:rPr>
        <w:t>-</w:t>
      </w:r>
      <w:r w:rsidRPr="00F95F17">
        <w:rPr>
          <w:rFonts w:ascii="Times New Roman" w:hAnsi="Times New Roman"/>
          <w:sz w:val="28"/>
          <w:szCs w:val="28"/>
        </w:rPr>
        <w:t xml:space="preserve"> </w:t>
      </w:r>
      <w:r w:rsidR="00116F46">
        <w:rPr>
          <w:rFonts w:ascii="Times New Roman" w:hAnsi="Times New Roman"/>
          <w:sz w:val="28"/>
          <w:szCs w:val="28"/>
        </w:rPr>
        <w:t>диспноэ, кашель</w:t>
      </w:r>
    </w:p>
    <w:p w14:paraId="34ED6B39" w14:textId="77777777" w:rsidR="000C2FD2" w:rsidRPr="0090720C" w:rsidRDefault="000C2FD2" w:rsidP="000C2FD2">
      <w:pPr>
        <w:pStyle w:val="ad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5F17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Pr="009072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абдоминальная боль, запор,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диарея, 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>тошнота, рвота</w:t>
      </w:r>
    </w:p>
    <w:p w14:paraId="13372F52" w14:textId="77777777" w:rsidR="000C2FD2" w:rsidRPr="0090720C" w:rsidRDefault="000C2FD2" w:rsidP="000C2FD2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F17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>крапивница, зуд, высыпания</w:t>
      </w:r>
    </w:p>
    <w:p w14:paraId="471F0673" w14:textId="77777777" w:rsidR="00F95F17" w:rsidRDefault="003A301A" w:rsidP="003A409A">
      <w:pPr>
        <w:pStyle w:val="ad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720C">
        <w:rPr>
          <w:rFonts w:ascii="Times New Roman" w:eastAsia="Times New Roman" w:hAnsi="Times New Roman"/>
          <w:i/>
          <w:sz w:val="28"/>
          <w:szCs w:val="28"/>
          <w:lang w:eastAsia="ru-RU"/>
        </w:rPr>
        <w:t>Редк</w:t>
      </w:r>
      <w:r w:rsidR="00116F46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</w:p>
    <w:p w14:paraId="0C474352" w14:textId="77777777" w:rsidR="003A301A" w:rsidRPr="0090720C" w:rsidRDefault="00F95F17" w:rsidP="003A409A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парестезии</w:t>
      </w:r>
    </w:p>
    <w:p w14:paraId="24EE5697" w14:textId="77777777" w:rsidR="00E61990" w:rsidRPr="0090720C" w:rsidRDefault="00F95F17" w:rsidP="00E61990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116F46">
        <w:rPr>
          <w:rFonts w:ascii="Times New Roman" w:hAnsi="Times New Roman"/>
          <w:sz w:val="28"/>
          <w:szCs w:val="28"/>
        </w:rPr>
        <w:t xml:space="preserve"> синкопе, </w:t>
      </w:r>
      <w:proofErr w:type="spellStart"/>
      <w:r w:rsidR="00116F46">
        <w:rPr>
          <w:rFonts w:ascii="Times New Roman" w:hAnsi="Times New Roman"/>
          <w:sz w:val="28"/>
          <w:szCs w:val="28"/>
        </w:rPr>
        <w:t>фибриляция</w:t>
      </w:r>
      <w:proofErr w:type="spellEnd"/>
      <w:r w:rsidR="00116F46">
        <w:rPr>
          <w:rFonts w:ascii="Times New Roman" w:hAnsi="Times New Roman"/>
          <w:sz w:val="28"/>
          <w:szCs w:val="28"/>
        </w:rPr>
        <w:t xml:space="preserve"> предсердий</w:t>
      </w:r>
    </w:p>
    <w:p w14:paraId="667CA25D" w14:textId="77777777" w:rsidR="00E80441" w:rsidRPr="0090720C" w:rsidRDefault="0083050A" w:rsidP="0011573C">
      <w:pPr>
        <w:pStyle w:val="ad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050A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-</w:t>
      </w:r>
      <w:r w:rsidR="00E80441"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441" w:rsidRPr="0090720C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аланин-</w:t>
      </w:r>
      <w:proofErr w:type="spellStart"/>
      <w:r w:rsidR="00E80441" w:rsidRPr="0090720C">
        <w:rPr>
          <w:rFonts w:ascii="Times New Roman" w:eastAsia="Times New Roman" w:hAnsi="Times New Roman"/>
          <w:sz w:val="28"/>
          <w:szCs w:val="28"/>
          <w:lang w:eastAsia="ru-RU"/>
        </w:rPr>
        <w:t>аминотрансферазы</w:t>
      </w:r>
      <w:proofErr w:type="spellEnd"/>
      <w:r w:rsidR="00E80441"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 (АЛТ)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14:paraId="566DBCE0" w14:textId="77777777" w:rsidR="00E80441" w:rsidRPr="0090720C" w:rsidRDefault="00017E9B" w:rsidP="00E80441">
      <w:pPr>
        <w:widowControl w:val="0"/>
        <w:jc w:val="both"/>
        <w:rPr>
          <w:sz w:val="22"/>
          <w:szCs w:val="22"/>
        </w:rPr>
      </w:pPr>
      <w:r w:rsidRPr="0090720C">
        <w:rPr>
          <w:sz w:val="22"/>
          <w:szCs w:val="22"/>
          <w:vertAlign w:val="superscript"/>
        </w:rPr>
        <w:t>*</w:t>
      </w:r>
      <w:r w:rsidR="00E80441" w:rsidRPr="0090720C">
        <w:rPr>
          <w:sz w:val="22"/>
          <w:szCs w:val="22"/>
        </w:rPr>
        <w:t xml:space="preserve"> Как правило, обратимы при прекращении терапии.</w:t>
      </w:r>
    </w:p>
    <w:p w14:paraId="4AF3B737" w14:textId="77777777" w:rsidR="003A409A" w:rsidRPr="0090720C" w:rsidRDefault="003A409A" w:rsidP="003A409A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В постмаркетинговый период наблюдались следующие побочные действия.</w:t>
      </w:r>
    </w:p>
    <w:p w14:paraId="02C88AA8" w14:textId="77777777" w:rsidR="000C2FD2" w:rsidRDefault="000C2FD2" w:rsidP="000C2FD2">
      <w:pPr>
        <w:pStyle w:val="ad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90720C">
        <w:rPr>
          <w:rFonts w:ascii="Times New Roman" w:eastAsia="Times New Roman" w:hAnsi="Times New Roman"/>
          <w:i/>
          <w:sz w:val="28"/>
          <w:szCs w:val="28"/>
          <w:lang w:eastAsia="ru-RU"/>
        </w:rPr>
        <w:t>Редко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</w:p>
    <w:p w14:paraId="627C020E" w14:textId="77777777" w:rsidR="000C2FD2" w:rsidRDefault="000C2FD2" w:rsidP="000C2FD2">
      <w:pPr>
        <w:pStyle w:val="ad"/>
        <w:tabs>
          <w:tab w:val="left" w:pos="14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реакции гиперчувствительности (анафилактические реакции, </w:t>
      </w:r>
    </w:p>
    <w:p w14:paraId="4A67C7AD" w14:textId="77777777" w:rsidR="000C2FD2" w:rsidRDefault="000C2FD2" w:rsidP="000C2FD2">
      <w:pPr>
        <w:pStyle w:val="ad"/>
        <w:tabs>
          <w:tab w:val="left" w:pos="14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ангионевротический отек*, в том числе отек гортани и голосовой щели,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A641A9B" w14:textId="77777777" w:rsidR="00543650" w:rsidRDefault="000C2FD2" w:rsidP="000C2FD2">
      <w:pPr>
        <w:pStyle w:val="ad"/>
        <w:tabs>
          <w:tab w:val="left" w:pos="14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приводящий к обструкции дыхательных путей и/или отеки лица, губ, </w:t>
      </w:r>
    </w:p>
    <w:p w14:paraId="3D5D6F38" w14:textId="77777777" w:rsidR="00543650" w:rsidRDefault="00543650" w:rsidP="000C2FD2">
      <w:pPr>
        <w:pStyle w:val="ad"/>
        <w:tabs>
          <w:tab w:val="left" w:pos="14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C2FD2"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глотки и/или языка); у некоторых пациентов в анамнезе был </w:t>
      </w:r>
    </w:p>
    <w:p w14:paraId="4480990D" w14:textId="77777777" w:rsidR="00543650" w:rsidRDefault="00543650" w:rsidP="000C2FD2">
      <w:pPr>
        <w:pStyle w:val="ad"/>
        <w:tabs>
          <w:tab w:val="left" w:pos="14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C2FD2" w:rsidRPr="0090720C">
        <w:rPr>
          <w:rFonts w:ascii="Times New Roman" w:eastAsia="Times New Roman" w:hAnsi="Times New Roman"/>
          <w:sz w:val="28"/>
          <w:szCs w:val="28"/>
          <w:lang w:eastAsia="ru-RU"/>
        </w:rPr>
        <w:t xml:space="preserve">ангионевротический отек, связанный с применением других препаратов, в </w:t>
      </w:r>
    </w:p>
    <w:p w14:paraId="147C5C2B" w14:textId="77777777" w:rsidR="000C2FD2" w:rsidRPr="0083050A" w:rsidRDefault="00543650" w:rsidP="000C2FD2">
      <w:pPr>
        <w:pStyle w:val="ad"/>
        <w:tabs>
          <w:tab w:val="left" w:pos="142"/>
        </w:tabs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C2FD2" w:rsidRPr="0090720C">
        <w:rPr>
          <w:rFonts w:ascii="Times New Roman" w:eastAsia="Times New Roman" w:hAnsi="Times New Roman"/>
          <w:sz w:val="28"/>
          <w:szCs w:val="28"/>
          <w:lang w:eastAsia="ru-RU"/>
        </w:rPr>
        <w:t>том числе ингибиторов АПФ; васкулит**, в том числе пурпура Шенляйна-Геноха.</w:t>
      </w:r>
    </w:p>
    <w:p w14:paraId="01E8AC4D" w14:textId="77777777" w:rsidR="000C2FD2" w:rsidRPr="0090720C" w:rsidRDefault="000C2FD2" w:rsidP="000C2FD2">
      <w:pPr>
        <w:jc w:val="both"/>
        <w:rPr>
          <w:sz w:val="22"/>
          <w:szCs w:val="22"/>
        </w:rPr>
      </w:pPr>
      <w:r w:rsidRPr="0090720C">
        <w:rPr>
          <w:sz w:val="22"/>
          <w:szCs w:val="22"/>
          <w:vertAlign w:val="superscript"/>
        </w:rPr>
        <w:sym w:font="Symbol" w:char="F02A"/>
      </w:r>
      <w:r w:rsidRPr="0090720C">
        <w:rPr>
          <w:sz w:val="22"/>
          <w:szCs w:val="22"/>
        </w:rPr>
        <w:t>В том числе отек гортани, глотки, лица, губ, голосовой щели и/или языка (что приводит к обструкции дыхательных путей); у некоторых пациентов в анамнезе был ангионевротический отек, связанный с применением других препаратов, в том числе ингибиторов АПФ.</w:t>
      </w:r>
    </w:p>
    <w:p w14:paraId="5626AECF" w14:textId="77777777" w:rsidR="000C2FD2" w:rsidRPr="0090720C" w:rsidRDefault="000C2FD2" w:rsidP="000C2FD2">
      <w:pPr>
        <w:widowControl w:val="0"/>
        <w:jc w:val="both"/>
        <w:rPr>
          <w:sz w:val="22"/>
          <w:szCs w:val="22"/>
        </w:rPr>
      </w:pPr>
      <w:r w:rsidRPr="0090720C">
        <w:rPr>
          <w:sz w:val="22"/>
          <w:szCs w:val="22"/>
          <w:vertAlign w:val="superscript"/>
        </w:rPr>
        <w:sym w:font="Symbol" w:char="F02A"/>
      </w:r>
      <w:r w:rsidRPr="0090720C">
        <w:rPr>
          <w:sz w:val="22"/>
          <w:szCs w:val="22"/>
          <w:vertAlign w:val="superscript"/>
        </w:rPr>
        <w:sym w:font="Symbol" w:char="F02A"/>
      </w:r>
      <w:r w:rsidRPr="0090720C">
        <w:rPr>
          <w:bCs/>
          <w:spacing w:val="-1"/>
          <w:sz w:val="22"/>
          <w:szCs w:val="22"/>
        </w:rPr>
        <w:t xml:space="preserve">Включая пурпуру </w:t>
      </w:r>
      <w:proofErr w:type="spellStart"/>
      <w:r w:rsidRPr="0090720C">
        <w:rPr>
          <w:bCs/>
          <w:spacing w:val="-1"/>
          <w:sz w:val="22"/>
          <w:szCs w:val="22"/>
        </w:rPr>
        <w:t>Шенлейна-Геноха</w:t>
      </w:r>
      <w:proofErr w:type="spellEnd"/>
      <w:r w:rsidRPr="0090720C">
        <w:rPr>
          <w:bCs/>
          <w:spacing w:val="-1"/>
          <w:sz w:val="22"/>
          <w:szCs w:val="22"/>
        </w:rPr>
        <w:t>.</w:t>
      </w:r>
    </w:p>
    <w:p w14:paraId="250D14D1" w14:textId="77777777" w:rsidR="0083050A" w:rsidRDefault="003A409A" w:rsidP="003A409A">
      <w:pPr>
        <w:jc w:val="both"/>
        <w:rPr>
          <w:i/>
          <w:sz w:val="28"/>
          <w:szCs w:val="28"/>
        </w:rPr>
      </w:pPr>
      <w:r w:rsidRPr="0090720C">
        <w:rPr>
          <w:i/>
          <w:sz w:val="28"/>
          <w:szCs w:val="28"/>
        </w:rPr>
        <w:t>Частота неизвестна</w:t>
      </w:r>
    </w:p>
    <w:p w14:paraId="01E469B3" w14:textId="77777777" w:rsidR="003A409A" w:rsidRDefault="0083050A" w:rsidP="003A409A">
      <w:pPr>
        <w:jc w:val="both"/>
        <w:rPr>
          <w:sz w:val="28"/>
          <w:szCs w:val="28"/>
        </w:rPr>
      </w:pPr>
      <w:r w:rsidRPr="0083050A">
        <w:rPr>
          <w:sz w:val="28"/>
          <w:szCs w:val="28"/>
          <w:lang w:val="kk-KZ"/>
        </w:rPr>
        <w:t>-</w:t>
      </w:r>
      <w:r w:rsidR="003A409A" w:rsidRPr="0083050A">
        <w:rPr>
          <w:sz w:val="28"/>
          <w:szCs w:val="28"/>
        </w:rPr>
        <w:t xml:space="preserve"> </w:t>
      </w:r>
      <w:r w:rsidR="000C2FD2">
        <w:rPr>
          <w:sz w:val="28"/>
          <w:szCs w:val="28"/>
        </w:rPr>
        <w:t>анемия, тромбоцитопения</w:t>
      </w:r>
    </w:p>
    <w:p w14:paraId="32B7AE5A" w14:textId="77777777" w:rsidR="000C2FD2" w:rsidRPr="0090720C" w:rsidRDefault="000C2FD2" w:rsidP="000C2FD2">
      <w:p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90720C">
        <w:rPr>
          <w:i/>
          <w:sz w:val="28"/>
          <w:szCs w:val="28"/>
          <w:lang w:val="kk-KZ"/>
        </w:rPr>
        <w:t xml:space="preserve"> </w:t>
      </w:r>
      <w:r w:rsidR="00116F46">
        <w:rPr>
          <w:sz w:val="28"/>
          <w:szCs w:val="28"/>
          <w:lang w:val="kk-KZ"/>
        </w:rPr>
        <w:t>депрессия</w:t>
      </w:r>
    </w:p>
    <w:p w14:paraId="4BA8809F" w14:textId="77777777" w:rsidR="000C2FD2" w:rsidRPr="0090720C" w:rsidRDefault="000C2FD2" w:rsidP="000C2FD2">
      <w:pPr>
        <w:pStyle w:val="ad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>мигрень, дисгевзия</w:t>
      </w:r>
    </w:p>
    <w:p w14:paraId="1A5B4103" w14:textId="77777777" w:rsidR="000C2FD2" w:rsidRPr="0090720C" w:rsidRDefault="000C2FD2" w:rsidP="000C2FD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116F46">
        <w:rPr>
          <w:rFonts w:ascii="Times New Roman" w:hAnsi="Times New Roman"/>
          <w:sz w:val="28"/>
          <w:szCs w:val="28"/>
        </w:rPr>
        <w:t>звон в ушах</w:t>
      </w:r>
    </w:p>
    <w:p w14:paraId="39D9BD1F" w14:textId="77777777" w:rsidR="000C2FD2" w:rsidRPr="0090720C" w:rsidRDefault="00116F46" w:rsidP="00543650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кашель</w:t>
      </w:r>
    </w:p>
    <w:p w14:paraId="71392E78" w14:textId="77777777" w:rsidR="000C2FD2" w:rsidRPr="0090720C" w:rsidRDefault="000C2FD2" w:rsidP="00543650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36F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Pr="00D8736F">
        <w:rPr>
          <w:rFonts w:ascii="Times New Roman" w:eastAsia="Times New Roman" w:hAnsi="Times New Roman"/>
          <w:sz w:val="28"/>
          <w:szCs w:val="28"/>
          <w:lang w:eastAsia="ru-RU"/>
        </w:rPr>
        <w:t xml:space="preserve"> гепатит</w:t>
      </w:r>
    </w:p>
    <w:p w14:paraId="39B89420" w14:textId="77777777" w:rsidR="000C2FD2" w:rsidRPr="0083050A" w:rsidRDefault="000C2FD2" w:rsidP="00543650">
      <w:pPr>
        <w:pStyle w:val="ae"/>
        <w:rPr>
          <w:rFonts w:ascii="Times New Roman" w:hAnsi="Times New Roman"/>
          <w:i/>
          <w:sz w:val="28"/>
          <w:szCs w:val="28"/>
          <w:lang w:val="kk-KZ"/>
        </w:rPr>
      </w:pPr>
      <w:r w:rsidRPr="0083050A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>диарея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>, панкреатит</w:t>
      </w:r>
    </w:p>
    <w:p w14:paraId="79176411" w14:textId="77777777" w:rsidR="00543650" w:rsidRDefault="000C2FD2" w:rsidP="00543650">
      <w:pPr>
        <w:pStyle w:val="ae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90720C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крапивница, зуд, высыпания, светочувствительность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166D538" w14:textId="77777777" w:rsidR="000C2FD2" w:rsidRPr="0090720C" w:rsidRDefault="00543650" w:rsidP="00543650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="000C2FD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>фотосенсибилизация)</w:t>
      </w:r>
    </w:p>
    <w:p w14:paraId="310E6E55" w14:textId="77777777" w:rsidR="000C2FD2" w:rsidRPr="0090720C" w:rsidRDefault="000C2FD2" w:rsidP="00543650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90720C">
        <w:rPr>
          <w:rFonts w:ascii="Times New Roman" w:hAnsi="Times New Roman"/>
          <w:sz w:val="28"/>
          <w:szCs w:val="28"/>
        </w:rPr>
        <w:t xml:space="preserve"> </w:t>
      </w: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миалгия, артралгия, рабдомиолиз</w:t>
      </w:r>
      <w:r w:rsidR="00543650">
        <w:rPr>
          <w:rFonts w:ascii="Times New Roman" w:eastAsia="Times New Roman" w:hAnsi="Times New Roman"/>
          <w:sz w:val="28"/>
          <w:szCs w:val="28"/>
          <w:lang w:eastAsia="ru-RU"/>
        </w:rPr>
        <w:t xml:space="preserve">, боль в 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>спине</w:t>
      </w:r>
    </w:p>
    <w:p w14:paraId="11AB7412" w14:textId="77777777" w:rsidR="000C2FD2" w:rsidRPr="0090720C" w:rsidRDefault="000C2FD2" w:rsidP="00543650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мочевыводящих путей</w:t>
      </w:r>
    </w:p>
    <w:p w14:paraId="79908B10" w14:textId="77777777" w:rsidR="000C2FD2" w:rsidRPr="0090720C" w:rsidRDefault="000C2FD2" w:rsidP="00543650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90720C">
        <w:rPr>
          <w:rFonts w:ascii="Times New Roman" w:hAnsi="Times New Roman"/>
          <w:sz w:val="28"/>
          <w:szCs w:val="28"/>
        </w:rPr>
        <w:t xml:space="preserve"> </w:t>
      </w: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эре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>ктильная дисфункция, импотенция</w:t>
      </w:r>
    </w:p>
    <w:p w14:paraId="3933CB51" w14:textId="77777777" w:rsidR="000C2FD2" w:rsidRPr="0090720C" w:rsidRDefault="000C2FD2" w:rsidP="00543650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36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недомогание, повышенная утомляе</w:t>
      </w:r>
      <w:r w:rsidR="00116F46">
        <w:rPr>
          <w:rFonts w:ascii="Times New Roman" w:eastAsia="Times New Roman" w:hAnsi="Times New Roman"/>
          <w:sz w:val="28"/>
          <w:szCs w:val="28"/>
          <w:lang w:eastAsia="ru-RU"/>
        </w:rPr>
        <w:t>мость, гриппоподобные симптомы</w:t>
      </w:r>
    </w:p>
    <w:p w14:paraId="130BA87D" w14:textId="77777777" w:rsidR="00C327E6" w:rsidRPr="0090720C" w:rsidRDefault="00C327E6" w:rsidP="0011573C">
      <w:pPr>
        <w:jc w:val="both"/>
        <w:rPr>
          <w:sz w:val="22"/>
          <w:szCs w:val="22"/>
        </w:rPr>
      </w:pPr>
    </w:p>
    <w:p w14:paraId="414B7084" w14:textId="77777777" w:rsidR="003F0407" w:rsidRPr="0090720C" w:rsidRDefault="003F0407" w:rsidP="00B051DF">
      <w:pPr>
        <w:jc w:val="both"/>
        <w:rPr>
          <w:b/>
          <w:sz w:val="28"/>
        </w:rPr>
      </w:pPr>
      <w:r w:rsidRPr="0090720C">
        <w:rPr>
          <w:b/>
          <w:sz w:val="28"/>
        </w:rPr>
        <w:t>Противопоказания</w:t>
      </w:r>
    </w:p>
    <w:p w14:paraId="06285F22" w14:textId="77777777" w:rsidR="00ED2D6D" w:rsidRPr="0090720C" w:rsidRDefault="007E0D1B" w:rsidP="007E0D1B">
      <w:pPr>
        <w:jc w:val="both"/>
        <w:rPr>
          <w:sz w:val="28"/>
          <w:szCs w:val="28"/>
        </w:rPr>
      </w:pPr>
      <w:r w:rsidRPr="0090720C">
        <w:rPr>
          <w:bCs/>
          <w:spacing w:val="-1"/>
          <w:sz w:val="28"/>
          <w:szCs w:val="28"/>
        </w:rPr>
        <w:t xml:space="preserve">- </w:t>
      </w:r>
      <w:r w:rsidR="00ED2D6D" w:rsidRPr="0090720C">
        <w:rPr>
          <w:bCs/>
          <w:spacing w:val="-1"/>
          <w:sz w:val="28"/>
          <w:szCs w:val="28"/>
        </w:rPr>
        <w:t>Гиперчувствительность к действующему веществу или любому вспомогательному веществу, входящему в состав препарата</w:t>
      </w:r>
      <w:r w:rsidR="00ED2D6D" w:rsidRPr="0090720C">
        <w:rPr>
          <w:sz w:val="28"/>
          <w:szCs w:val="28"/>
        </w:rPr>
        <w:t>.</w:t>
      </w:r>
    </w:p>
    <w:p w14:paraId="55D65366" w14:textId="77777777" w:rsidR="00ED2D6D" w:rsidRPr="0090720C" w:rsidRDefault="007E0D1B" w:rsidP="007E0D1B">
      <w:pPr>
        <w:jc w:val="both"/>
        <w:rPr>
          <w:sz w:val="28"/>
          <w:szCs w:val="28"/>
        </w:rPr>
      </w:pPr>
      <w:r w:rsidRPr="0090720C">
        <w:rPr>
          <w:bCs/>
          <w:spacing w:val="-1"/>
          <w:sz w:val="28"/>
          <w:szCs w:val="28"/>
        </w:rPr>
        <w:t xml:space="preserve">- </w:t>
      </w:r>
      <w:r w:rsidR="00ED2D6D" w:rsidRPr="0090720C">
        <w:rPr>
          <w:bCs/>
          <w:spacing w:val="-1"/>
          <w:sz w:val="28"/>
          <w:szCs w:val="28"/>
        </w:rPr>
        <w:t>Тяжелые нарушения функции печени</w:t>
      </w:r>
      <w:r w:rsidR="00ED2D6D" w:rsidRPr="0090720C">
        <w:rPr>
          <w:sz w:val="28"/>
          <w:szCs w:val="28"/>
        </w:rPr>
        <w:t>.</w:t>
      </w:r>
    </w:p>
    <w:p w14:paraId="1A4A44CD" w14:textId="77777777" w:rsidR="00ED2D6D" w:rsidRPr="0090720C" w:rsidRDefault="007E0D1B" w:rsidP="007E0D1B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- </w:t>
      </w:r>
      <w:r w:rsidR="00ED2D6D" w:rsidRPr="0090720C">
        <w:rPr>
          <w:sz w:val="28"/>
          <w:szCs w:val="28"/>
        </w:rPr>
        <w:t>Одновременное применения ло</w:t>
      </w:r>
      <w:r w:rsidR="00BD6CED" w:rsidRPr="0090720C">
        <w:rPr>
          <w:sz w:val="28"/>
          <w:szCs w:val="28"/>
        </w:rPr>
        <w:t>з</w:t>
      </w:r>
      <w:r w:rsidR="00ED2D6D" w:rsidRPr="0090720C">
        <w:rPr>
          <w:sz w:val="28"/>
          <w:szCs w:val="28"/>
        </w:rPr>
        <w:t>ар</w:t>
      </w:r>
      <w:r w:rsidR="00A953BD" w:rsidRPr="0090720C">
        <w:rPr>
          <w:sz w:val="28"/>
          <w:szCs w:val="28"/>
        </w:rPr>
        <w:t>т</w:t>
      </w:r>
      <w:r w:rsidR="00ED2D6D" w:rsidRPr="0090720C">
        <w:rPr>
          <w:sz w:val="28"/>
          <w:szCs w:val="28"/>
        </w:rPr>
        <w:t xml:space="preserve">ана и алискирена пациентам с сахарным диабетом или с нарушениями функции почек (СКФ </w:t>
      </w:r>
      <w:proofErr w:type="gramStart"/>
      <w:r w:rsidR="00ED2D6D" w:rsidRPr="0090720C">
        <w:rPr>
          <w:sz w:val="28"/>
          <w:szCs w:val="28"/>
        </w:rPr>
        <w:t>&lt;</w:t>
      </w:r>
      <w:r w:rsidR="005E45D9" w:rsidRPr="0090720C">
        <w:rPr>
          <w:sz w:val="28"/>
          <w:szCs w:val="28"/>
          <w:lang w:val="uk-UA"/>
        </w:rPr>
        <w:t> </w:t>
      </w:r>
      <w:r w:rsidR="00ED2D6D" w:rsidRPr="0090720C">
        <w:rPr>
          <w:sz w:val="28"/>
          <w:szCs w:val="28"/>
        </w:rPr>
        <w:t>60</w:t>
      </w:r>
      <w:proofErr w:type="gramEnd"/>
      <w:r w:rsidR="005E45D9" w:rsidRPr="0090720C">
        <w:rPr>
          <w:sz w:val="28"/>
          <w:szCs w:val="28"/>
          <w:lang w:val="uk-UA"/>
        </w:rPr>
        <w:t> </w:t>
      </w:r>
      <w:r w:rsidR="00ED2D6D" w:rsidRPr="0090720C">
        <w:rPr>
          <w:sz w:val="28"/>
          <w:szCs w:val="28"/>
        </w:rPr>
        <w:t>мл/мин/1,73 м</w:t>
      </w:r>
      <w:r w:rsidR="00ED2D6D" w:rsidRPr="0090720C">
        <w:rPr>
          <w:sz w:val="28"/>
          <w:szCs w:val="28"/>
          <w:vertAlign w:val="superscript"/>
        </w:rPr>
        <w:t>2</w:t>
      </w:r>
      <w:r w:rsidR="00ED2D6D" w:rsidRPr="0090720C">
        <w:rPr>
          <w:sz w:val="28"/>
          <w:szCs w:val="28"/>
        </w:rPr>
        <w:t>) противопоказано</w:t>
      </w:r>
      <w:r w:rsidRPr="0090720C">
        <w:rPr>
          <w:sz w:val="28"/>
          <w:szCs w:val="28"/>
        </w:rPr>
        <w:t>.</w:t>
      </w:r>
    </w:p>
    <w:p w14:paraId="2E3E30A9" w14:textId="77777777" w:rsidR="00437569" w:rsidRPr="0090720C" w:rsidRDefault="00437569" w:rsidP="00437569">
      <w:pPr>
        <w:jc w:val="both"/>
        <w:rPr>
          <w:sz w:val="28"/>
          <w:szCs w:val="28"/>
        </w:rPr>
      </w:pPr>
      <w:r w:rsidRPr="0090720C">
        <w:rPr>
          <w:sz w:val="28"/>
          <w:szCs w:val="28"/>
          <w:lang w:eastAsia="uk-UA"/>
        </w:rPr>
        <w:t>- Беременные женщины или женщины, которые планируют забеременеть.</w:t>
      </w:r>
    </w:p>
    <w:p w14:paraId="22DD821D" w14:textId="77777777" w:rsidR="00437569" w:rsidRPr="0090720C" w:rsidRDefault="00437569" w:rsidP="007E0D1B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- </w:t>
      </w:r>
      <w:r w:rsidR="002179C2" w:rsidRPr="0090720C">
        <w:rPr>
          <w:sz w:val="28"/>
          <w:szCs w:val="28"/>
          <w:lang w:val="kk-KZ"/>
        </w:rPr>
        <w:t>Д</w:t>
      </w:r>
      <w:proofErr w:type="spellStart"/>
      <w:r w:rsidR="002179C2" w:rsidRPr="0090720C">
        <w:rPr>
          <w:sz w:val="28"/>
          <w:szCs w:val="28"/>
        </w:rPr>
        <w:t>етский</w:t>
      </w:r>
      <w:proofErr w:type="spellEnd"/>
      <w:r w:rsidR="002179C2" w:rsidRPr="0090720C">
        <w:rPr>
          <w:sz w:val="28"/>
          <w:szCs w:val="28"/>
        </w:rPr>
        <w:t xml:space="preserve"> и подростковый возраст до 18 лет.</w:t>
      </w:r>
    </w:p>
    <w:p w14:paraId="26D54749" w14:textId="77777777" w:rsidR="00775EFA" w:rsidRPr="0090720C" w:rsidRDefault="00775EFA" w:rsidP="002D139B">
      <w:pPr>
        <w:jc w:val="both"/>
        <w:rPr>
          <w:b/>
          <w:sz w:val="28"/>
        </w:rPr>
      </w:pPr>
      <w:r w:rsidRPr="0090720C">
        <w:rPr>
          <w:b/>
          <w:sz w:val="28"/>
        </w:rPr>
        <w:t xml:space="preserve">Лекарственные взаимодействия </w:t>
      </w:r>
    </w:p>
    <w:p w14:paraId="5F1C9090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Другие антигипертензивные средства могут усиливать гипотензивный эффект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 xml:space="preserve">артана. Одновременное применение с другими препаратами, которые могут индуцировать такой побочный эффект как артериальная гипотензия (трициклические антидепрессанты, антипсихотические средства, </w:t>
      </w:r>
      <w:proofErr w:type="spellStart"/>
      <w:r w:rsidRPr="0090720C">
        <w:rPr>
          <w:sz w:val="28"/>
          <w:szCs w:val="28"/>
        </w:rPr>
        <w:t>баклофен</w:t>
      </w:r>
      <w:proofErr w:type="spellEnd"/>
      <w:r w:rsidRPr="0090720C">
        <w:rPr>
          <w:sz w:val="28"/>
          <w:szCs w:val="28"/>
        </w:rPr>
        <w:t xml:space="preserve"> и </w:t>
      </w:r>
      <w:proofErr w:type="spellStart"/>
      <w:r w:rsidRPr="0090720C">
        <w:rPr>
          <w:sz w:val="28"/>
          <w:szCs w:val="28"/>
        </w:rPr>
        <w:t>амифостин</w:t>
      </w:r>
      <w:proofErr w:type="spellEnd"/>
      <w:r w:rsidRPr="0090720C">
        <w:rPr>
          <w:sz w:val="28"/>
          <w:szCs w:val="28"/>
        </w:rPr>
        <w:t>), может повышать риск возникновения артериальной гипотензии.</w:t>
      </w:r>
    </w:p>
    <w:p w14:paraId="65E2C45E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lastRenderedPageBreak/>
        <w:t>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 xml:space="preserve">артан преимущественно метаболизируется цитохромом Р450 (CYP) 2C9 активного метаболита – </w:t>
      </w:r>
      <w:proofErr w:type="spellStart"/>
      <w:r w:rsidRPr="0090720C">
        <w:rPr>
          <w:sz w:val="28"/>
          <w:szCs w:val="28"/>
        </w:rPr>
        <w:t>карбоксикислоты</w:t>
      </w:r>
      <w:proofErr w:type="spellEnd"/>
      <w:r w:rsidRPr="0090720C">
        <w:rPr>
          <w:sz w:val="28"/>
          <w:szCs w:val="28"/>
        </w:rPr>
        <w:t xml:space="preserve">. Было установлено, что флуконазол снижает экспозицию активного метаболита примерно на 50%, а одновременное лечение </w:t>
      </w:r>
      <w:proofErr w:type="spellStart"/>
      <w:r w:rsidRPr="0090720C">
        <w:rPr>
          <w:sz w:val="28"/>
          <w:szCs w:val="28"/>
        </w:rPr>
        <w:t>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артаном</w:t>
      </w:r>
      <w:proofErr w:type="spellEnd"/>
      <w:r w:rsidRPr="0090720C">
        <w:rPr>
          <w:sz w:val="28"/>
          <w:szCs w:val="28"/>
        </w:rPr>
        <w:t xml:space="preserve"> и </w:t>
      </w:r>
      <w:proofErr w:type="spellStart"/>
      <w:r w:rsidRPr="0090720C">
        <w:rPr>
          <w:sz w:val="28"/>
          <w:szCs w:val="28"/>
        </w:rPr>
        <w:t>рифампицином</w:t>
      </w:r>
      <w:proofErr w:type="spellEnd"/>
      <w:r w:rsidRPr="0090720C">
        <w:rPr>
          <w:sz w:val="28"/>
          <w:szCs w:val="28"/>
        </w:rPr>
        <w:t xml:space="preserve"> (индуктор ферментов метаболизма) приводит к снижению на 40% концентрации активного метаболита в плазме крови. Клиническое значение этого эффекта неизвестно. Нет различий в экспозиции при одновременном применении </w:t>
      </w:r>
      <w:proofErr w:type="spellStart"/>
      <w:r w:rsidRPr="0090720C">
        <w:rPr>
          <w:sz w:val="28"/>
          <w:szCs w:val="28"/>
        </w:rPr>
        <w:t>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</w:t>
      </w:r>
      <w:proofErr w:type="spellEnd"/>
      <w:r w:rsidRPr="0090720C">
        <w:rPr>
          <w:sz w:val="28"/>
          <w:szCs w:val="28"/>
        </w:rPr>
        <w:t xml:space="preserve"> и </w:t>
      </w:r>
      <w:proofErr w:type="spellStart"/>
      <w:r w:rsidRPr="0090720C">
        <w:rPr>
          <w:sz w:val="28"/>
          <w:szCs w:val="28"/>
        </w:rPr>
        <w:t>флувастатина</w:t>
      </w:r>
      <w:proofErr w:type="spellEnd"/>
      <w:r w:rsidRPr="0090720C">
        <w:rPr>
          <w:sz w:val="28"/>
          <w:szCs w:val="28"/>
        </w:rPr>
        <w:t xml:space="preserve"> (слабого ингибитора CYP2C9).</w:t>
      </w:r>
    </w:p>
    <w:p w14:paraId="4794451B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Так же, как и при применении других препаратов, блокирующих ангиотензин II или его эффекты, одновременное применение препаратов, задерживающих калий в организме (например, калийсберегающих диуретиков: </w:t>
      </w:r>
      <w:proofErr w:type="spellStart"/>
      <w:r w:rsidRPr="0090720C">
        <w:rPr>
          <w:sz w:val="28"/>
          <w:szCs w:val="28"/>
        </w:rPr>
        <w:t>спиронолактона</w:t>
      </w:r>
      <w:proofErr w:type="spellEnd"/>
      <w:r w:rsidRPr="0090720C">
        <w:rPr>
          <w:sz w:val="28"/>
          <w:szCs w:val="28"/>
        </w:rPr>
        <w:t xml:space="preserve">, </w:t>
      </w:r>
      <w:proofErr w:type="spellStart"/>
      <w:r w:rsidRPr="0090720C">
        <w:rPr>
          <w:sz w:val="28"/>
          <w:szCs w:val="28"/>
        </w:rPr>
        <w:t>триамтерена</w:t>
      </w:r>
      <w:proofErr w:type="spellEnd"/>
      <w:r w:rsidRPr="0090720C">
        <w:rPr>
          <w:sz w:val="28"/>
          <w:szCs w:val="28"/>
        </w:rPr>
        <w:t xml:space="preserve">, </w:t>
      </w:r>
      <w:proofErr w:type="spellStart"/>
      <w:r w:rsidRPr="0090720C">
        <w:rPr>
          <w:sz w:val="28"/>
          <w:szCs w:val="28"/>
        </w:rPr>
        <w:t>амилорида</w:t>
      </w:r>
      <w:proofErr w:type="spellEnd"/>
      <w:r w:rsidRPr="0090720C">
        <w:rPr>
          <w:sz w:val="28"/>
          <w:szCs w:val="28"/>
        </w:rPr>
        <w:t>), или повышающих уровень калия (например, гепарин) добавок, содержащих калий, или заменителей, солей, содержащих калий, может привести к повышению уровня калия в сыворотке крови. Одновременное применение таких средств не рекомендуется.</w:t>
      </w:r>
    </w:p>
    <w:p w14:paraId="1E2BF96C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Об обратимом повышении концентраций лития в сыворотке крови, а также о токсичности сообщалось при одновременном применении лития с ингибиторами АПФ. Одновременное применение препаратов лития и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следует проводить с осторожностью. Если применение такой комбинации считается необходимым, рекомендуется контролировать уровень лития в сыворотке крови в течение периода лечения.</w:t>
      </w:r>
    </w:p>
    <w:p w14:paraId="180C6B32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При одновременном применении антагонистов ангиотензина II и НПВП (например, селективные ингибиторы циклооксигеназы-2 (ЦОГ-2), ацетилсалициловая кислота в дозах, оказывающих противовоспалительное действие, неселективные НПВП) может ослабляться антигипертензивный эффект. Одновременное применение антагонистов ангиотензина II или диуретиков с НПВП может приводить к повышению риска нарушения функции почек, включая возможно развитие острой почечной недостаточности, а также к повышению уровня калия в сыворотке крови, особенно у пациентов с существующим нарушением функции почек. Такую комбинацию следует назначать с осторожностью, особенно пациентам пожилого возраста. Пациентам следует проводить соответствующую дегидратацию, также следует рассмотреть вопрос мониторинга функции почек после начала сопутствующей терапии, далее – периодически.</w:t>
      </w:r>
    </w:p>
    <w:p w14:paraId="2F79112A" w14:textId="77777777" w:rsidR="00603655" w:rsidRPr="0090720C" w:rsidRDefault="00ED2D6D" w:rsidP="00A72A60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Двойная блокада (например, путем добавления ингибитора АПФ или алискирена к антагонистам рецепторов ангиотензина II) должна ограничиваться индивидуально-определенными случаями с тщательным контролем артериального давления, функции почек и электролитов. В отдельных исследованиях было показано, что у пациентов с установленным атеросклерозом, сердечной недостаточностью или диабетом с поражением органов двойная блокада ренин-анги</w:t>
      </w:r>
      <w:r w:rsidR="00543650">
        <w:rPr>
          <w:sz w:val="28"/>
          <w:szCs w:val="28"/>
        </w:rPr>
        <w:t>отензин-</w:t>
      </w:r>
      <w:proofErr w:type="spellStart"/>
      <w:r w:rsidR="00543650">
        <w:rPr>
          <w:sz w:val="28"/>
          <w:szCs w:val="28"/>
        </w:rPr>
        <w:t>альдостероновой</w:t>
      </w:r>
      <w:proofErr w:type="spellEnd"/>
      <w:r w:rsidR="00543650">
        <w:rPr>
          <w:sz w:val="28"/>
          <w:szCs w:val="28"/>
        </w:rPr>
        <w:t xml:space="preserve"> системы </w:t>
      </w:r>
      <w:r w:rsidRPr="0090720C">
        <w:rPr>
          <w:sz w:val="28"/>
          <w:szCs w:val="28"/>
        </w:rPr>
        <w:t xml:space="preserve">связана с более высокой частотой возникновения гипотензии, обмороков, гиперкалиемии, а также изменения функции почек (включая острую почечную недостаточность), по сравнению с использованием одного </w:t>
      </w:r>
      <w:r w:rsidRPr="0090720C">
        <w:rPr>
          <w:sz w:val="28"/>
          <w:szCs w:val="28"/>
        </w:rPr>
        <w:lastRenderedPageBreak/>
        <w:t>препарата, действующего на ренин-ангиотензин-</w:t>
      </w:r>
      <w:proofErr w:type="spellStart"/>
      <w:r w:rsidRPr="0090720C">
        <w:rPr>
          <w:sz w:val="28"/>
          <w:szCs w:val="28"/>
        </w:rPr>
        <w:t>альдостероновую</w:t>
      </w:r>
      <w:proofErr w:type="spellEnd"/>
      <w:r w:rsidRPr="0090720C">
        <w:rPr>
          <w:sz w:val="28"/>
          <w:szCs w:val="28"/>
        </w:rPr>
        <w:t xml:space="preserve"> систему. Не рекомендуется совместное введение </w:t>
      </w:r>
      <w:proofErr w:type="spellStart"/>
      <w:r w:rsidRPr="0090720C">
        <w:rPr>
          <w:sz w:val="28"/>
          <w:szCs w:val="28"/>
        </w:rPr>
        <w:t>алискирена</w:t>
      </w:r>
      <w:proofErr w:type="spellEnd"/>
      <w:r w:rsidRPr="0090720C">
        <w:rPr>
          <w:sz w:val="28"/>
          <w:szCs w:val="28"/>
        </w:rPr>
        <w:t xml:space="preserve"> с </w:t>
      </w:r>
      <w:proofErr w:type="spellStart"/>
      <w:r w:rsidRPr="0090720C">
        <w:rPr>
          <w:sz w:val="28"/>
          <w:szCs w:val="28"/>
        </w:rPr>
        <w:t>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артаном</w:t>
      </w:r>
      <w:proofErr w:type="spellEnd"/>
      <w:r w:rsidRPr="0090720C">
        <w:rPr>
          <w:sz w:val="28"/>
          <w:szCs w:val="28"/>
        </w:rPr>
        <w:t xml:space="preserve"> у больных с сахарным диабетом или у пациентов с почечной недостаточностью (СКФ &lt;60 мл/мин)</w:t>
      </w:r>
      <w:r w:rsidR="00603655" w:rsidRPr="0090720C">
        <w:rPr>
          <w:sz w:val="28"/>
          <w:szCs w:val="28"/>
        </w:rPr>
        <w:t>.</w:t>
      </w:r>
    </w:p>
    <w:p w14:paraId="52945458" w14:textId="77777777" w:rsidR="00603655" w:rsidRPr="0090720C" w:rsidRDefault="00603655" w:rsidP="00A72A60">
      <w:pPr>
        <w:jc w:val="both"/>
        <w:rPr>
          <w:sz w:val="28"/>
          <w:szCs w:val="28"/>
        </w:rPr>
      </w:pPr>
    </w:p>
    <w:p w14:paraId="1F7496E0" w14:textId="77777777" w:rsidR="00775EFA" w:rsidRPr="0090720C" w:rsidRDefault="00775EFA" w:rsidP="00B051DF">
      <w:pPr>
        <w:jc w:val="both"/>
        <w:rPr>
          <w:b/>
          <w:sz w:val="28"/>
        </w:rPr>
      </w:pPr>
      <w:r w:rsidRPr="0090720C">
        <w:rPr>
          <w:b/>
          <w:sz w:val="28"/>
        </w:rPr>
        <w:t>Особые указания</w:t>
      </w:r>
    </w:p>
    <w:p w14:paraId="56CCE039" w14:textId="77777777" w:rsidR="00ED2D6D" w:rsidRPr="0090720C" w:rsidRDefault="00ED2D6D" w:rsidP="00ED2D6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0720C">
        <w:rPr>
          <w:rFonts w:ascii="Times New Roman" w:hAnsi="Times New Roman"/>
          <w:i/>
          <w:sz w:val="28"/>
          <w:szCs w:val="28"/>
          <w:lang w:val="ru-RU"/>
        </w:rPr>
        <w:t>Беременность.</w:t>
      </w:r>
      <w:r w:rsidRPr="0090720C">
        <w:rPr>
          <w:rFonts w:ascii="Times New Roman" w:hAnsi="Times New Roman"/>
          <w:sz w:val="28"/>
          <w:szCs w:val="28"/>
          <w:lang w:val="ru-RU"/>
        </w:rPr>
        <w:t xml:space="preserve"> В период беременности противопоказано применение антагонистов рецепторов ангиотензина II. Пациентки, получающие антагонисты рецепторов ангиотензина II и планирующие беременность, должны перейти на антигипертензивные лекарственные средства, которые имеют установленный профиль безопасности для применения в период беременности. При установлении беременности лечение антагонистами рецепторов ангиотензина II необходимо срочно прекратить и при необходимости начать альтернативное лечение</w:t>
      </w:r>
      <w:r w:rsidR="00382874" w:rsidRPr="0090720C">
        <w:rPr>
          <w:rFonts w:ascii="Times New Roman" w:hAnsi="Times New Roman"/>
          <w:sz w:val="28"/>
          <w:szCs w:val="28"/>
          <w:lang w:val="ru-RU"/>
        </w:rPr>
        <w:t>.</w:t>
      </w:r>
    </w:p>
    <w:p w14:paraId="0CC2C42D" w14:textId="77777777" w:rsidR="00ED2D6D" w:rsidRPr="0090720C" w:rsidRDefault="00ED2D6D" w:rsidP="00ED2D6D">
      <w:pPr>
        <w:jc w:val="both"/>
        <w:rPr>
          <w:sz w:val="28"/>
          <w:szCs w:val="28"/>
          <w:u w:val="single"/>
        </w:rPr>
      </w:pPr>
      <w:r w:rsidRPr="0090720C">
        <w:rPr>
          <w:sz w:val="28"/>
          <w:szCs w:val="28"/>
          <w:u w:val="single"/>
        </w:rPr>
        <w:t>Гиперчувствительность.</w:t>
      </w:r>
    </w:p>
    <w:p w14:paraId="26ECA12E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i/>
          <w:sz w:val="28"/>
          <w:szCs w:val="28"/>
        </w:rPr>
        <w:t>Ангионевротический отек.</w:t>
      </w:r>
      <w:r w:rsidRPr="0090720C">
        <w:rPr>
          <w:sz w:val="28"/>
          <w:szCs w:val="28"/>
        </w:rPr>
        <w:t xml:space="preserve"> Во время приема препарата пациентам с ангионевротическим отеком в анамнезе (отек лица, губ, горла и/или языка) следует постоянно контролировать их общее состояние.</w:t>
      </w:r>
    </w:p>
    <w:p w14:paraId="5EF02957" w14:textId="77777777" w:rsidR="00ED2D6D" w:rsidRPr="0090720C" w:rsidRDefault="00ED2D6D" w:rsidP="00ED2D6D">
      <w:pPr>
        <w:jc w:val="both"/>
        <w:rPr>
          <w:sz w:val="28"/>
          <w:szCs w:val="28"/>
          <w:u w:val="single"/>
        </w:rPr>
      </w:pPr>
      <w:r w:rsidRPr="0090720C">
        <w:rPr>
          <w:sz w:val="28"/>
          <w:szCs w:val="28"/>
          <w:u w:val="single"/>
        </w:rPr>
        <w:t>Артериальная гипотензия и водно-электролитный баланс.</w:t>
      </w:r>
    </w:p>
    <w:p w14:paraId="3E6EE152" w14:textId="77777777" w:rsidR="00437569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Симптоматическая артериальная гипотензия, особенно после применения первой дозы или ее повышения, может возникать у пациентов со сниженным внутрисосудистым объемом или дефицитом натрия, вызванным применением сильных диуретиков, диетическим ограничением употребления соли, диареей или рвотой. Такие состояния требуют коррекции перед началом лечения </w:t>
      </w:r>
      <w:proofErr w:type="spellStart"/>
      <w:r w:rsidRPr="0090720C">
        <w:rPr>
          <w:sz w:val="28"/>
          <w:szCs w:val="28"/>
        </w:rPr>
        <w:t>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артаном</w:t>
      </w:r>
      <w:proofErr w:type="spellEnd"/>
      <w:r w:rsidRPr="0090720C">
        <w:rPr>
          <w:sz w:val="28"/>
          <w:szCs w:val="28"/>
        </w:rPr>
        <w:t xml:space="preserve"> или снижения начальной дозы препарата. </w:t>
      </w:r>
    </w:p>
    <w:p w14:paraId="3EC6E426" w14:textId="77777777" w:rsidR="00ED2D6D" w:rsidRPr="0090720C" w:rsidRDefault="00ED2D6D" w:rsidP="00ED2D6D">
      <w:pPr>
        <w:jc w:val="both"/>
        <w:rPr>
          <w:sz w:val="28"/>
          <w:szCs w:val="28"/>
          <w:u w:val="single"/>
        </w:rPr>
      </w:pPr>
      <w:r w:rsidRPr="0090720C">
        <w:rPr>
          <w:sz w:val="28"/>
          <w:szCs w:val="28"/>
          <w:u w:val="single"/>
        </w:rPr>
        <w:t>Электролитный дисбаланс.</w:t>
      </w:r>
    </w:p>
    <w:p w14:paraId="6F2B6C14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Электролитный дисбаланс часто наблюдается у пациентов с нарушением функции почек (с или без сахарного диабета), что следует принимать во внимание. Помимо этого, следует тщательно контролировать концентрации калия (возможность гиперкалиемии) в плазме крови, а также показатели клиренса креатинина, особенно у пациентов с сердечной недостаточностью и клиренсом креатинина 30–50 мл/мин.</w:t>
      </w:r>
    </w:p>
    <w:p w14:paraId="6FDE3924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Не рекомендуется одновременное применение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и калийсберегающих диуретиков, добавок калия и заменителей соли, содержащих калий.</w:t>
      </w:r>
    </w:p>
    <w:p w14:paraId="3B432046" w14:textId="77777777" w:rsidR="00ED2D6D" w:rsidRPr="0090720C" w:rsidRDefault="00ED2D6D" w:rsidP="00ED2D6D">
      <w:pPr>
        <w:jc w:val="both"/>
        <w:rPr>
          <w:sz w:val="28"/>
          <w:szCs w:val="28"/>
          <w:u w:val="single"/>
        </w:rPr>
      </w:pPr>
      <w:r w:rsidRPr="0090720C">
        <w:rPr>
          <w:sz w:val="28"/>
          <w:szCs w:val="28"/>
          <w:u w:val="single"/>
        </w:rPr>
        <w:t>Нарушение функции печени.</w:t>
      </w:r>
    </w:p>
    <w:p w14:paraId="193A038F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Принимая во внимание фармакокинетические данные, указывающие на существенное повышение концентрации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в плазме крови больных циррозом печени, следует рассмотреть вопрос о понижении дозы для пациентов с наличием в анамнезе нарушений функции печени. Нет опыта применения препарата пациентам с тяжелыми нарушениями функции печени.</w:t>
      </w:r>
    </w:p>
    <w:p w14:paraId="61A74E87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Препарат не рекомендован для применения детям с нарушением функции печени.</w:t>
      </w:r>
    </w:p>
    <w:p w14:paraId="6A7C791E" w14:textId="77777777" w:rsidR="00ED2D6D" w:rsidRPr="0090720C" w:rsidRDefault="00ED2D6D" w:rsidP="00ED2D6D">
      <w:pPr>
        <w:jc w:val="both"/>
        <w:rPr>
          <w:sz w:val="28"/>
          <w:szCs w:val="28"/>
          <w:u w:val="single"/>
        </w:rPr>
      </w:pPr>
      <w:r w:rsidRPr="0090720C">
        <w:rPr>
          <w:sz w:val="28"/>
          <w:szCs w:val="28"/>
          <w:u w:val="single"/>
        </w:rPr>
        <w:lastRenderedPageBreak/>
        <w:t>Нарушение функции почек.</w:t>
      </w:r>
    </w:p>
    <w:p w14:paraId="443F5934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Сообщалось о возникновении изменений функции почек, включая почечную недостаточность, что связывали с подавлением ренин-ангиотензиновой системы (особенно у пациентов с зависимостью функции почек от системы ренин-ангиотензин-альдостерон, то есть пациенты с тяжелым нарушением функции сердца или с уже существующим нарушением функции почек).</w:t>
      </w:r>
    </w:p>
    <w:p w14:paraId="4D4DE98B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Препараты, которые влияют на ренин-ангиотензин-</w:t>
      </w:r>
      <w:proofErr w:type="spellStart"/>
      <w:r w:rsidRPr="0090720C">
        <w:rPr>
          <w:sz w:val="28"/>
          <w:szCs w:val="28"/>
        </w:rPr>
        <w:t>альдостероновую</w:t>
      </w:r>
      <w:proofErr w:type="spellEnd"/>
      <w:r w:rsidRPr="0090720C">
        <w:rPr>
          <w:sz w:val="28"/>
          <w:szCs w:val="28"/>
        </w:rPr>
        <w:t xml:space="preserve"> систему, могут вызвать повышение уровней мочевины крови и креатинина сыворотки крови у больных с двусторонним стенозом почечных артерий или со стенозом артерии единственной почки. Эти изменения в функции почек могут быть обратимыми после прекращения терапии. Следует с осторожностью принимать </w:t>
      </w:r>
      <w:r w:rsidR="00603655" w:rsidRPr="0090720C">
        <w:rPr>
          <w:sz w:val="28"/>
          <w:szCs w:val="28"/>
        </w:rPr>
        <w:t>КЛОСАРТ</w:t>
      </w:r>
      <w:r w:rsidRPr="0090720C">
        <w:rPr>
          <w:sz w:val="28"/>
          <w:szCs w:val="28"/>
          <w:vertAlign w:val="superscript"/>
        </w:rPr>
        <w:t>®</w:t>
      </w:r>
      <w:r w:rsidRPr="0090720C">
        <w:rPr>
          <w:sz w:val="28"/>
          <w:szCs w:val="28"/>
        </w:rPr>
        <w:t xml:space="preserve"> пациентам с двусторонним стенозом почечных артерий или стенозом артерии единственной почки.</w:t>
      </w:r>
    </w:p>
    <w:p w14:paraId="4105688A" w14:textId="77777777" w:rsidR="00ED2D6D" w:rsidRPr="0090720C" w:rsidRDefault="00ED2D6D" w:rsidP="00ED2D6D">
      <w:pPr>
        <w:jc w:val="both"/>
        <w:rPr>
          <w:i/>
          <w:sz w:val="28"/>
          <w:szCs w:val="28"/>
        </w:rPr>
      </w:pPr>
      <w:r w:rsidRPr="0090720C">
        <w:rPr>
          <w:i/>
          <w:sz w:val="28"/>
          <w:szCs w:val="28"/>
        </w:rPr>
        <w:t>Применение детям с нарушениями функции почек.</w:t>
      </w:r>
    </w:p>
    <w:p w14:paraId="07885752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Препарат не рекомендован для применения детям со скоростью клубочковой фильтрации</w:t>
      </w:r>
      <w:r w:rsidR="005F7045" w:rsidRPr="0090720C">
        <w:rPr>
          <w:sz w:val="28"/>
          <w:szCs w:val="28"/>
        </w:rPr>
        <w:t xml:space="preserve"> </w:t>
      </w:r>
      <w:proofErr w:type="gramStart"/>
      <w:r w:rsidRPr="0090720C">
        <w:rPr>
          <w:sz w:val="28"/>
          <w:szCs w:val="28"/>
        </w:rPr>
        <w:t>&lt; 30</w:t>
      </w:r>
      <w:proofErr w:type="gramEnd"/>
      <w:r w:rsidRPr="0090720C">
        <w:rPr>
          <w:sz w:val="28"/>
          <w:szCs w:val="28"/>
        </w:rPr>
        <w:t> мл/мин/1,73 м</w:t>
      </w:r>
      <w:r w:rsidRPr="0090720C">
        <w:rPr>
          <w:sz w:val="28"/>
          <w:szCs w:val="28"/>
          <w:vertAlign w:val="superscript"/>
        </w:rPr>
        <w:t>2</w:t>
      </w:r>
      <w:r w:rsidRPr="0090720C">
        <w:rPr>
          <w:sz w:val="28"/>
          <w:szCs w:val="28"/>
        </w:rPr>
        <w:t>, поскольку нет соответствующих данных относительно применения.</w:t>
      </w:r>
    </w:p>
    <w:p w14:paraId="148A8875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В течение периода применения </w:t>
      </w:r>
      <w:r w:rsidR="00603655" w:rsidRPr="0090720C">
        <w:rPr>
          <w:sz w:val="28"/>
          <w:szCs w:val="28"/>
        </w:rPr>
        <w:t>КЛОСАРТА</w:t>
      </w:r>
      <w:r w:rsidR="00603655" w:rsidRPr="0090720C">
        <w:rPr>
          <w:sz w:val="28"/>
          <w:szCs w:val="28"/>
          <w:vertAlign w:val="superscript"/>
        </w:rPr>
        <w:t>®</w:t>
      </w:r>
      <w:r w:rsidRPr="0090720C">
        <w:rPr>
          <w:sz w:val="28"/>
          <w:szCs w:val="28"/>
        </w:rPr>
        <w:t xml:space="preserve"> следует регулярно проверять функцию почек, поскольку возможно ее ухудшение. Особенно это касается ситуаций, когда </w:t>
      </w:r>
      <w:r w:rsidR="00603655" w:rsidRPr="0090720C">
        <w:rPr>
          <w:sz w:val="28"/>
          <w:szCs w:val="28"/>
        </w:rPr>
        <w:t>КЛОСАРТ</w:t>
      </w:r>
      <w:r w:rsidRPr="0090720C">
        <w:rPr>
          <w:sz w:val="28"/>
          <w:szCs w:val="28"/>
          <w:vertAlign w:val="superscript"/>
        </w:rPr>
        <w:t>®</w:t>
      </w:r>
      <w:r w:rsidRPr="0090720C">
        <w:rPr>
          <w:sz w:val="28"/>
          <w:szCs w:val="28"/>
        </w:rPr>
        <w:t xml:space="preserve"> применяется при наличии других патологических состояний (лихорадка, дегидратация), которые могут влиять на функцию почек.</w:t>
      </w:r>
    </w:p>
    <w:p w14:paraId="21A1B5AA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Одновременное применение </w:t>
      </w:r>
      <w:r w:rsidR="00603655" w:rsidRPr="0090720C">
        <w:rPr>
          <w:sz w:val="28"/>
          <w:szCs w:val="28"/>
        </w:rPr>
        <w:t>КЛОСАРТА</w:t>
      </w:r>
      <w:r w:rsidR="00603655" w:rsidRPr="0090720C">
        <w:rPr>
          <w:sz w:val="28"/>
          <w:szCs w:val="28"/>
          <w:vertAlign w:val="superscript"/>
        </w:rPr>
        <w:t>®</w:t>
      </w:r>
      <w:r w:rsidRPr="0090720C">
        <w:rPr>
          <w:sz w:val="28"/>
          <w:szCs w:val="28"/>
        </w:rPr>
        <w:t xml:space="preserve"> и ингибиторов АПФ ухудшает функцию почек, поэтому такая комбинация не рекомендуется.</w:t>
      </w:r>
    </w:p>
    <w:p w14:paraId="53C30755" w14:textId="77777777" w:rsidR="00ED2D6D" w:rsidRPr="0090720C" w:rsidRDefault="00ED2D6D" w:rsidP="00ED2D6D">
      <w:pPr>
        <w:jc w:val="both"/>
        <w:rPr>
          <w:sz w:val="28"/>
          <w:szCs w:val="28"/>
          <w:u w:val="single"/>
        </w:rPr>
      </w:pPr>
      <w:r w:rsidRPr="0090720C">
        <w:rPr>
          <w:sz w:val="28"/>
          <w:szCs w:val="28"/>
          <w:u w:val="single"/>
        </w:rPr>
        <w:t>Трансплантация почки.</w:t>
      </w:r>
    </w:p>
    <w:p w14:paraId="7BFD3A24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Нет опыта относительно безопасности применения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пациентам, которым недавно провели трансплантацию почки.</w:t>
      </w:r>
    </w:p>
    <w:p w14:paraId="3CAC775B" w14:textId="77777777" w:rsidR="00ED2D6D" w:rsidRPr="0090720C" w:rsidRDefault="00ED2D6D" w:rsidP="00ED2D6D">
      <w:pPr>
        <w:jc w:val="both"/>
        <w:rPr>
          <w:sz w:val="28"/>
          <w:szCs w:val="28"/>
          <w:u w:val="single"/>
        </w:rPr>
      </w:pPr>
      <w:r w:rsidRPr="0090720C">
        <w:rPr>
          <w:sz w:val="28"/>
          <w:szCs w:val="28"/>
          <w:u w:val="single"/>
        </w:rPr>
        <w:t xml:space="preserve">Первичный </w:t>
      </w:r>
      <w:proofErr w:type="spellStart"/>
      <w:r w:rsidRPr="0090720C">
        <w:rPr>
          <w:sz w:val="28"/>
          <w:szCs w:val="28"/>
          <w:u w:val="single"/>
        </w:rPr>
        <w:t>гиперальдостеронизм</w:t>
      </w:r>
      <w:proofErr w:type="spellEnd"/>
      <w:r w:rsidRPr="0090720C">
        <w:rPr>
          <w:sz w:val="28"/>
          <w:szCs w:val="28"/>
          <w:u w:val="single"/>
        </w:rPr>
        <w:t>.</w:t>
      </w:r>
    </w:p>
    <w:p w14:paraId="3F6BB6B3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У пациентов с первичным </w:t>
      </w:r>
      <w:proofErr w:type="spellStart"/>
      <w:r w:rsidRPr="0090720C">
        <w:rPr>
          <w:sz w:val="28"/>
          <w:szCs w:val="28"/>
        </w:rPr>
        <w:t>гиперальдостеронизмом</w:t>
      </w:r>
      <w:proofErr w:type="spellEnd"/>
      <w:r w:rsidRPr="0090720C">
        <w:rPr>
          <w:sz w:val="28"/>
          <w:szCs w:val="28"/>
        </w:rPr>
        <w:t xml:space="preserve">, как правило, не наблюдается эффекта при применении препаратов, которые действуют путем ингибирования ренин-ангиотензиновой системы. Поэтому </w:t>
      </w:r>
      <w:r w:rsidR="00603655" w:rsidRPr="0090720C">
        <w:rPr>
          <w:sz w:val="28"/>
          <w:szCs w:val="28"/>
        </w:rPr>
        <w:t>КЛОСАРТ</w:t>
      </w:r>
      <w:r w:rsidR="00603655" w:rsidRPr="0090720C">
        <w:rPr>
          <w:sz w:val="28"/>
          <w:szCs w:val="28"/>
          <w:vertAlign w:val="superscript"/>
        </w:rPr>
        <w:t>®</w:t>
      </w:r>
      <w:r w:rsidRPr="0090720C">
        <w:rPr>
          <w:sz w:val="28"/>
          <w:szCs w:val="28"/>
        </w:rPr>
        <w:t xml:space="preserve"> не рекомендован для этой группы пациентов.</w:t>
      </w:r>
    </w:p>
    <w:p w14:paraId="224CC64C" w14:textId="77777777" w:rsidR="00ED2D6D" w:rsidRPr="0090720C" w:rsidRDefault="00ED2D6D" w:rsidP="00ED2D6D">
      <w:pPr>
        <w:jc w:val="both"/>
        <w:rPr>
          <w:sz w:val="28"/>
          <w:szCs w:val="28"/>
          <w:u w:val="single"/>
        </w:rPr>
      </w:pPr>
      <w:r w:rsidRPr="0090720C">
        <w:rPr>
          <w:sz w:val="28"/>
          <w:szCs w:val="28"/>
          <w:u w:val="single"/>
        </w:rPr>
        <w:t>Заболевание коронарных артерий и цереброваскулярные заболевания.</w:t>
      </w:r>
    </w:p>
    <w:p w14:paraId="76602035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Как и при применении других антигипертензивных препаратов, чрезмерное снижение артериального давления у пациентов с ишемическими заболеваниями коронарных артерий и цереброваскулярными заболеваниями может привести к развитию инфаркта миокарда или инсульта.</w:t>
      </w:r>
    </w:p>
    <w:p w14:paraId="60C07FD9" w14:textId="77777777" w:rsidR="00ED2D6D" w:rsidRPr="0090720C" w:rsidRDefault="00ED2D6D" w:rsidP="00ED2D6D">
      <w:pPr>
        <w:jc w:val="both"/>
        <w:rPr>
          <w:sz w:val="28"/>
          <w:szCs w:val="28"/>
          <w:u w:val="single"/>
        </w:rPr>
      </w:pPr>
      <w:r w:rsidRPr="0090720C">
        <w:rPr>
          <w:sz w:val="28"/>
          <w:szCs w:val="28"/>
          <w:u w:val="single"/>
        </w:rPr>
        <w:t>Сердечная недостаточность.</w:t>
      </w:r>
    </w:p>
    <w:p w14:paraId="53F58591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>Как и при применении других препаратов, влияющих на ренин-ангиотензин-</w:t>
      </w:r>
      <w:proofErr w:type="spellStart"/>
      <w:r w:rsidRPr="0090720C">
        <w:rPr>
          <w:sz w:val="28"/>
          <w:szCs w:val="28"/>
        </w:rPr>
        <w:t>альдостероновую</w:t>
      </w:r>
      <w:proofErr w:type="spellEnd"/>
      <w:r w:rsidRPr="0090720C">
        <w:rPr>
          <w:sz w:val="28"/>
          <w:szCs w:val="28"/>
        </w:rPr>
        <w:t xml:space="preserve"> систему, у пациентов с сердечной недостаточностью с/без нарушения функции почек существует риск развития тяжелой артериальной гипотензии и (часто острого) нарушения функции почек.</w:t>
      </w:r>
    </w:p>
    <w:p w14:paraId="0D11EE6F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lastRenderedPageBreak/>
        <w:t>Нет достаточного терапевтического опыта применения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 xml:space="preserve">артана больным с сердечной недостаточностью и сопутствующим тяжелым нарушением функции почек, пациентам с тяжелой сердечной недостаточностью (класс IV по NYHA), а также у пациентов с сердечной недостаточностью и симптоматической опасной для жизни сердечной аритмией. Поэтому </w:t>
      </w:r>
      <w:proofErr w:type="spellStart"/>
      <w:r w:rsidRPr="0090720C">
        <w:rPr>
          <w:sz w:val="28"/>
          <w:szCs w:val="28"/>
        </w:rPr>
        <w:t>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</w:t>
      </w:r>
      <w:proofErr w:type="spellEnd"/>
      <w:r w:rsidRPr="0090720C">
        <w:rPr>
          <w:sz w:val="28"/>
          <w:szCs w:val="28"/>
        </w:rPr>
        <w:t xml:space="preserve"> следует применять с осторожностью такой группе пациентов. Следует с осторожностью применять одновременно </w:t>
      </w:r>
      <w:proofErr w:type="spellStart"/>
      <w:r w:rsidRPr="0090720C">
        <w:rPr>
          <w:sz w:val="28"/>
          <w:szCs w:val="28"/>
        </w:rPr>
        <w:t>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</w:t>
      </w:r>
      <w:proofErr w:type="spellEnd"/>
      <w:r w:rsidRPr="0090720C">
        <w:rPr>
          <w:sz w:val="28"/>
          <w:szCs w:val="28"/>
        </w:rPr>
        <w:t xml:space="preserve"> и β-блокаторы.</w:t>
      </w:r>
    </w:p>
    <w:p w14:paraId="03F4DB3D" w14:textId="77777777" w:rsidR="00ED2D6D" w:rsidRPr="0090720C" w:rsidRDefault="00ED2D6D" w:rsidP="00ED2D6D">
      <w:pPr>
        <w:jc w:val="both"/>
        <w:rPr>
          <w:sz w:val="28"/>
          <w:szCs w:val="28"/>
          <w:u w:val="single"/>
        </w:rPr>
      </w:pPr>
      <w:r w:rsidRPr="0090720C">
        <w:rPr>
          <w:sz w:val="28"/>
          <w:szCs w:val="28"/>
          <w:u w:val="single"/>
        </w:rPr>
        <w:t>Стеноз аортального и митрального клапанов, обструктивная гипертрофическая кардиомиопатия.</w:t>
      </w:r>
    </w:p>
    <w:p w14:paraId="638B6E80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Как и при применении других вазодилататоров, с особой осторожностью следует назначать </w:t>
      </w:r>
      <w:r w:rsidR="00603655" w:rsidRPr="0090720C">
        <w:rPr>
          <w:sz w:val="28"/>
          <w:szCs w:val="28"/>
        </w:rPr>
        <w:t>КЛОСАРТ</w:t>
      </w:r>
      <w:r w:rsidRPr="0090720C">
        <w:rPr>
          <w:sz w:val="28"/>
          <w:szCs w:val="28"/>
          <w:vertAlign w:val="superscript"/>
        </w:rPr>
        <w:t>®</w:t>
      </w:r>
      <w:r w:rsidRPr="0090720C">
        <w:rPr>
          <w:sz w:val="28"/>
          <w:szCs w:val="28"/>
        </w:rPr>
        <w:t xml:space="preserve"> пациентам со стенозом аортального и митрального клапанов или обструктивной гипертрофической кардиомиопатией</w:t>
      </w:r>
    </w:p>
    <w:p w14:paraId="771B1F4E" w14:textId="77777777" w:rsidR="00ED2D6D" w:rsidRPr="0090720C" w:rsidRDefault="00ED2D6D" w:rsidP="00ED2D6D">
      <w:pPr>
        <w:pStyle w:val="ab"/>
        <w:spacing w:before="0" w:beforeAutospacing="0" w:after="0" w:afterAutospacing="0"/>
        <w:jc w:val="both"/>
        <w:rPr>
          <w:color w:val="auto"/>
          <w:sz w:val="28"/>
          <w:szCs w:val="28"/>
          <w:u w:val="single"/>
        </w:rPr>
      </w:pPr>
      <w:r w:rsidRPr="0090720C">
        <w:rPr>
          <w:color w:val="auto"/>
          <w:sz w:val="28"/>
          <w:szCs w:val="28"/>
          <w:u w:val="single"/>
        </w:rPr>
        <w:t>Прочие меры предосторожности.</w:t>
      </w:r>
    </w:p>
    <w:p w14:paraId="668CE85F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sz w:val="28"/>
          <w:szCs w:val="28"/>
        </w:rPr>
        <w:t xml:space="preserve">Как установлено относительно ингибиторов </w:t>
      </w:r>
      <w:proofErr w:type="spellStart"/>
      <w:r w:rsidRPr="0090720C">
        <w:rPr>
          <w:sz w:val="28"/>
          <w:szCs w:val="28"/>
        </w:rPr>
        <w:t>ангиотензинпревращающего</w:t>
      </w:r>
      <w:proofErr w:type="spellEnd"/>
      <w:r w:rsidRPr="0090720C">
        <w:rPr>
          <w:sz w:val="28"/>
          <w:szCs w:val="28"/>
        </w:rPr>
        <w:t xml:space="preserve"> фермента, </w:t>
      </w:r>
      <w:proofErr w:type="spellStart"/>
      <w:r w:rsidRPr="0090720C">
        <w:rPr>
          <w:sz w:val="28"/>
          <w:szCs w:val="28"/>
        </w:rPr>
        <w:t>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</w:t>
      </w:r>
      <w:proofErr w:type="spellEnd"/>
      <w:r w:rsidRPr="0090720C">
        <w:rPr>
          <w:sz w:val="28"/>
          <w:szCs w:val="28"/>
        </w:rPr>
        <w:t xml:space="preserve"> и другие антагонисты ангиотензина менее эффективны у пациентов негроидной расы, чем у других пациентов, возможно, из-за низкой активности ренина у пациентов с артериальной гипертензией, которые являются представителями негроидной расы.</w:t>
      </w:r>
    </w:p>
    <w:p w14:paraId="46BB7A39" w14:textId="77777777" w:rsidR="00ED2D6D" w:rsidRPr="0090720C" w:rsidRDefault="00ED2D6D" w:rsidP="00ED2D6D">
      <w:pPr>
        <w:jc w:val="both"/>
        <w:rPr>
          <w:sz w:val="28"/>
          <w:szCs w:val="28"/>
          <w:u w:val="single"/>
        </w:rPr>
      </w:pPr>
      <w:r w:rsidRPr="0090720C">
        <w:rPr>
          <w:sz w:val="28"/>
          <w:szCs w:val="28"/>
          <w:u w:val="single"/>
        </w:rPr>
        <w:t>Двойная блокада ренин-ангиотензин-</w:t>
      </w:r>
      <w:proofErr w:type="spellStart"/>
      <w:r w:rsidRPr="0090720C">
        <w:rPr>
          <w:sz w:val="28"/>
          <w:szCs w:val="28"/>
          <w:u w:val="single"/>
        </w:rPr>
        <w:t>альдостероновой</w:t>
      </w:r>
      <w:proofErr w:type="spellEnd"/>
      <w:r w:rsidRPr="0090720C">
        <w:rPr>
          <w:sz w:val="28"/>
          <w:szCs w:val="28"/>
          <w:u w:val="single"/>
        </w:rPr>
        <w:t xml:space="preserve"> системы (РААС)</w:t>
      </w:r>
    </w:p>
    <w:p w14:paraId="214CC443" w14:textId="77777777" w:rsidR="00ED2D6D" w:rsidRPr="0090720C" w:rsidRDefault="00ED2D6D" w:rsidP="00ED2D6D">
      <w:pPr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90720C">
        <w:rPr>
          <w:sz w:val="28"/>
          <w:szCs w:val="28"/>
        </w:rPr>
        <w:t>Гипотензия, обморок, инсульт, гиперкалиемия, а также изменения почек (включая острую почечную недостаточность) были зарегистрированы у предрасположенных лиц, особенно при комбинировании лекарственных средств, влияющих на эту систему. Поэтому двойная блокада ренин-ангиотензин-</w:t>
      </w:r>
      <w:proofErr w:type="spellStart"/>
      <w:r w:rsidRPr="0090720C">
        <w:rPr>
          <w:sz w:val="28"/>
          <w:szCs w:val="28"/>
        </w:rPr>
        <w:t>альдостероновой</w:t>
      </w:r>
      <w:proofErr w:type="spellEnd"/>
      <w:r w:rsidRPr="0090720C">
        <w:rPr>
          <w:sz w:val="28"/>
          <w:szCs w:val="28"/>
        </w:rPr>
        <w:t xml:space="preserve"> системы путем комбинирования блокаторы рецепторов ангиотензина II (БРА) с ингибиторами ангиотензин-превращающего фермента (ИАПФ) или </w:t>
      </w:r>
      <w:proofErr w:type="spellStart"/>
      <w:r w:rsidRPr="0090720C">
        <w:rPr>
          <w:sz w:val="28"/>
          <w:szCs w:val="28"/>
        </w:rPr>
        <w:t>алискиреном</w:t>
      </w:r>
      <w:proofErr w:type="spellEnd"/>
      <w:r w:rsidRPr="0090720C">
        <w:rPr>
          <w:sz w:val="28"/>
          <w:szCs w:val="28"/>
        </w:rPr>
        <w:t xml:space="preserve"> не рекомендуется.</w:t>
      </w:r>
    </w:p>
    <w:p w14:paraId="1911F2DE" w14:textId="77777777" w:rsidR="00CA4249" w:rsidRPr="0090720C" w:rsidRDefault="00ED2D6D" w:rsidP="00ED2D6D">
      <w:pPr>
        <w:jc w:val="both"/>
        <w:rPr>
          <w:noProof/>
          <w:sz w:val="28"/>
          <w:szCs w:val="28"/>
        </w:rPr>
      </w:pPr>
      <w:r w:rsidRPr="0090720C">
        <w:rPr>
          <w:sz w:val="28"/>
          <w:szCs w:val="28"/>
        </w:rPr>
        <w:t xml:space="preserve">Комбинация с </w:t>
      </w:r>
      <w:proofErr w:type="spellStart"/>
      <w:r w:rsidRPr="0090720C">
        <w:rPr>
          <w:sz w:val="28"/>
          <w:szCs w:val="28"/>
        </w:rPr>
        <w:t>алискиреном</w:t>
      </w:r>
      <w:proofErr w:type="spellEnd"/>
      <w:r w:rsidRPr="0090720C">
        <w:rPr>
          <w:sz w:val="28"/>
          <w:szCs w:val="28"/>
        </w:rPr>
        <w:t xml:space="preserve"> противопоказана пациентам с сахарным диабетом или почечной недостаточностью (СКФ &lt;60 мл/мин/1,73 м</w:t>
      </w:r>
      <w:r w:rsidRPr="0090720C">
        <w:rPr>
          <w:sz w:val="28"/>
          <w:szCs w:val="28"/>
          <w:vertAlign w:val="superscript"/>
        </w:rPr>
        <w:t>2</w:t>
      </w:r>
      <w:r w:rsidRPr="0090720C">
        <w:rPr>
          <w:sz w:val="28"/>
          <w:szCs w:val="28"/>
        </w:rPr>
        <w:t>).</w:t>
      </w:r>
    </w:p>
    <w:p w14:paraId="609EEEC9" w14:textId="77777777" w:rsidR="004926B3" w:rsidRPr="0090720C" w:rsidRDefault="004926B3" w:rsidP="004926B3">
      <w:pPr>
        <w:pStyle w:val="a8"/>
        <w:rPr>
          <w:i/>
          <w:lang w:eastAsia="ko-KR"/>
        </w:rPr>
      </w:pPr>
      <w:proofErr w:type="spellStart"/>
      <w:r w:rsidRPr="0090720C">
        <w:rPr>
          <w:i/>
          <w:lang w:eastAsia="ko-KR"/>
        </w:rPr>
        <w:t>Применение</w:t>
      </w:r>
      <w:proofErr w:type="spellEnd"/>
      <w:r w:rsidRPr="0090720C">
        <w:rPr>
          <w:i/>
          <w:lang w:eastAsia="ko-KR"/>
        </w:rPr>
        <w:t xml:space="preserve"> в </w:t>
      </w:r>
      <w:proofErr w:type="spellStart"/>
      <w:r w:rsidRPr="0090720C">
        <w:rPr>
          <w:i/>
          <w:lang w:eastAsia="ko-KR"/>
        </w:rPr>
        <w:t>педиатрии</w:t>
      </w:r>
      <w:proofErr w:type="spellEnd"/>
    </w:p>
    <w:p w14:paraId="4C3B8171" w14:textId="77777777" w:rsidR="00451EA6" w:rsidRPr="0090720C" w:rsidRDefault="004926B3" w:rsidP="004926B3">
      <w:pPr>
        <w:jc w:val="both"/>
        <w:rPr>
          <w:b/>
          <w:bCs/>
          <w:sz w:val="28"/>
          <w:szCs w:val="28"/>
        </w:rPr>
      </w:pPr>
      <w:r w:rsidRPr="0090720C">
        <w:rPr>
          <w:sz w:val="28"/>
          <w:szCs w:val="28"/>
        </w:rPr>
        <w:t>К</w:t>
      </w:r>
      <w:r w:rsidR="005F7045" w:rsidRPr="0090720C">
        <w:rPr>
          <w:sz w:val="28"/>
          <w:szCs w:val="28"/>
        </w:rPr>
        <w:t>ЛОСАРТ</w:t>
      </w:r>
      <w:r w:rsidRPr="0090720C">
        <w:rPr>
          <w:bCs/>
          <w:sz w:val="28"/>
          <w:szCs w:val="28"/>
          <w:vertAlign w:val="superscript"/>
        </w:rPr>
        <w:t>®</w:t>
      </w:r>
      <w:r w:rsidRPr="0090720C">
        <w:rPr>
          <w:color w:val="000000"/>
          <w:sz w:val="28"/>
          <w:szCs w:val="28"/>
        </w:rPr>
        <w:t>,</w:t>
      </w:r>
      <w:r w:rsidRPr="0090720C">
        <w:rPr>
          <w:color w:val="000000"/>
          <w:sz w:val="28"/>
          <w:szCs w:val="28"/>
          <w:vertAlign w:val="superscript"/>
        </w:rPr>
        <w:t xml:space="preserve"> </w:t>
      </w:r>
      <w:r w:rsidRPr="0090720C">
        <w:rPr>
          <w:color w:val="000000"/>
          <w:sz w:val="28"/>
          <w:szCs w:val="28"/>
        </w:rPr>
        <w:t xml:space="preserve">таблетки, противопоказан </w:t>
      </w:r>
      <w:r w:rsidRPr="0090720C">
        <w:rPr>
          <w:sz w:val="28"/>
          <w:szCs w:val="28"/>
        </w:rPr>
        <w:t>детям и подросткам до 18 лет</w:t>
      </w:r>
      <w:r w:rsidR="005F7045" w:rsidRPr="0090720C">
        <w:rPr>
          <w:sz w:val="28"/>
          <w:szCs w:val="28"/>
        </w:rPr>
        <w:t>.</w:t>
      </w:r>
      <w:r w:rsidRPr="0090720C">
        <w:rPr>
          <w:i/>
          <w:sz w:val="28"/>
          <w:szCs w:val="28"/>
        </w:rPr>
        <w:t xml:space="preserve"> </w:t>
      </w:r>
      <w:r w:rsidR="00D274C5" w:rsidRPr="0090720C">
        <w:rPr>
          <w:i/>
          <w:sz w:val="28"/>
          <w:szCs w:val="28"/>
        </w:rPr>
        <w:t>Беременность и период лактации</w:t>
      </w:r>
    </w:p>
    <w:p w14:paraId="21E19F86" w14:textId="77777777" w:rsidR="00ED2D6D" w:rsidRPr="0090720C" w:rsidRDefault="00ED2D6D" w:rsidP="00ED2D6D">
      <w:pPr>
        <w:jc w:val="both"/>
        <w:rPr>
          <w:b/>
          <w:i/>
          <w:sz w:val="28"/>
          <w:szCs w:val="28"/>
        </w:rPr>
      </w:pPr>
      <w:r w:rsidRPr="0090720C">
        <w:rPr>
          <w:i/>
          <w:sz w:val="28"/>
          <w:szCs w:val="28"/>
        </w:rPr>
        <w:t>Беременность.</w:t>
      </w:r>
    </w:p>
    <w:p w14:paraId="67B1987E" w14:textId="77777777" w:rsidR="00ED2D6D" w:rsidRPr="0090720C" w:rsidRDefault="00ED2D6D" w:rsidP="00ED2D6D">
      <w:pPr>
        <w:pStyle w:val="FreeForm"/>
        <w:jc w:val="both"/>
        <w:rPr>
          <w:rFonts w:ascii="Times New Roman" w:hAnsi="Times New Roman"/>
          <w:sz w:val="28"/>
          <w:szCs w:val="28"/>
          <w:lang w:val="ru-RU"/>
        </w:rPr>
      </w:pPr>
      <w:r w:rsidRPr="0090720C">
        <w:rPr>
          <w:rFonts w:ascii="Times New Roman" w:hAnsi="Times New Roman"/>
          <w:sz w:val="28"/>
          <w:szCs w:val="28"/>
          <w:lang w:val="ru-RU"/>
        </w:rPr>
        <w:t>Лекарственное средство противопоказано применять беременным или женщинам, планирующим беременность</w:t>
      </w:r>
      <w:r w:rsidR="00382874" w:rsidRPr="009072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720C">
        <w:rPr>
          <w:rFonts w:ascii="Times New Roman" w:hAnsi="Times New Roman"/>
          <w:sz w:val="28"/>
          <w:szCs w:val="28"/>
          <w:lang w:val="ru-RU"/>
        </w:rPr>
        <w:t xml:space="preserve">Если во время лечения подтверждается беременность, его применение следует немедленно прекратить и заменить другим лекарственным средством, разрешенным к применению у беременных. </w:t>
      </w:r>
    </w:p>
    <w:p w14:paraId="2333F82F" w14:textId="77777777" w:rsidR="00ED2D6D" w:rsidRPr="0090720C" w:rsidRDefault="00ED2D6D" w:rsidP="00ED2D6D">
      <w:pPr>
        <w:jc w:val="both"/>
        <w:rPr>
          <w:bCs/>
          <w:sz w:val="28"/>
          <w:szCs w:val="28"/>
        </w:rPr>
      </w:pPr>
      <w:r w:rsidRPr="0090720C">
        <w:rPr>
          <w:bCs/>
          <w:sz w:val="28"/>
          <w:szCs w:val="28"/>
        </w:rPr>
        <w:t xml:space="preserve">Известно, что применение АРАII в течение II и III триместров индуцирует </w:t>
      </w:r>
      <w:proofErr w:type="spellStart"/>
      <w:r w:rsidRPr="0090720C">
        <w:rPr>
          <w:bCs/>
          <w:sz w:val="28"/>
          <w:szCs w:val="28"/>
        </w:rPr>
        <w:t>фетотоксичность</w:t>
      </w:r>
      <w:proofErr w:type="spellEnd"/>
      <w:r w:rsidRPr="0090720C">
        <w:rPr>
          <w:bCs/>
          <w:sz w:val="28"/>
          <w:szCs w:val="28"/>
        </w:rPr>
        <w:t xml:space="preserve"> (ослабление функции почек, </w:t>
      </w:r>
      <w:proofErr w:type="spellStart"/>
      <w:r w:rsidRPr="0090720C">
        <w:rPr>
          <w:bCs/>
          <w:sz w:val="28"/>
          <w:szCs w:val="28"/>
        </w:rPr>
        <w:t>олигогидрамнион</w:t>
      </w:r>
      <w:proofErr w:type="spellEnd"/>
      <w:r w:rsidRPr="0090720C">
        <w:rPr>
          <w:bCs/>
          <w:sz w:val="28"/>
          <w:szCs w:val="28"/>
        </w:rPr>
        <w:t xml:space="preserve">, задержка </w:t>
      </w:r>
      <w:proofErr w:type="spellStart"/>
      <w:r w:rsidRPr="0090720C">
        <w:rPr>
          <w:bCs/>
          <w:sz w:val="28"/>
          <w:szCs w:val="28"/>
        </w:rPr>
        <w:t>оссификации</w:t>
      </w:r>
      <w:proofErr w:type="spellEnd"/>
      <w:r w:rsidRPr="0090720C">
        <w:rPr>
          <w:bCs/>
          <w:sz w:val="28"/>
          <w:szCs w:val="28"/>
        </w:rPr>
        <w:t xml:space="preserve"> костей черепа) и неонатальную токсичность (почечная недостаточность, артериальная гипотензия, гиперкалиемия). </w:t>
      </w:r>
    </w:p>
    <w:p w14:paraId="1BC4F7D2" w14:textId="77777777" w:rsidR="00ED2D6D" w:rsidRPr="0090720C" w:rsidRDefault="00ED2D6D" w:rsidP="00ED2D6D">
      <w:pPr>
        <w:jc w:val="both"/>
        <w:rPr>
          <w:bCs/>
          <w:sz w:val="28"/>
          <w:szCs w:val="28"/>
        </w:rPr>
      </w:pPr>
      <w:r w:rsidRPr="0090720C">
        <w:rPr>
          <w:bCs/>
          <w:sz w:val="28"/>
          <w:szCs w:val="28"/>
        </w:rPr>
        <w:lastRenderedPageBreak/>
        <w:t xml:space="preserve">Если в течение II триместра беременности применялись АРАII, рекомендовано провести ультразвуковое обследование для проверки функции почек и состояния костей черепа. </w:t>
      </w:r>
    </w:p>
    <w:p w14:paraId="6E63F779" w14:textId="77777777" w:rsidR="00ED2D6D" w:rsidRPr="0090720C" w:rsidRDefault="00ED2D6D" w:rsidP="00ED2D6D">
      <w:pPr>
        <w:jc w:val="both"/>
        <w:rPr>
          <w:bCs/>
          <w:sz w:val="28"/>
          <w:szCs w:val="28"/>
        </w:rPr>
      </w:pPr>
      <w:r w:rsidRPr="0090720C">
        <w:rPr>
          <w:bCs/>
          <w:sz w:val="28"/>
          <w:szCs w:val="28"/>
        </w:rPr>
        <w:t>Состояние новорожденных, матери которых применяли АРАII, следует часто проверять на предмет развития артериальной гипотензии.</w:t>
      </w:r>
    </w:p>
    <w:p w14:paraId="0C19C20A" w14:textId="77777777" w:rsidR="00451EA6" w:rsidRPr="0090720C" w:rsidRDefault="00ED2D6D" w:rsidP="00ED2D6D">
      <w:pPr>
        <w:jc w:val="both"/>
        <w:rPr>
          <w:bCs/>
          <w:sz w:val="28"/>
          <w:szCs w:val="28"/>
        </w:rPr>
      </w:pPr>
      <w:r w:rsidRPr="0090720C">
        <w:rPr>
          <w:bCs/>
          <w:i/>
          <w:sz w:val="28"/>
          <w:szCs w:val="28"/>
        </w:rPr>
        <w:t xml:space="preserve">Кормление грудью. </w:t>
      </w:r>
      <w:r w:rsidRPr="0090720C">
        <w:rPr>
          <w:bCs/>
          <w:sz w:val="28"/>
          <w:szCs w:val="28"/>
        </w:rPr>
        <w:t>Поскольку нет информации относительно применения ло</w:t>
      </w:r>
      <w:r w:rsidR="00603655" w:rsidRPr="0090720C">
        <w:rPr>
          <w:bCs/>
          <w:sz w:val="28"/>
          <w:szCs w:val="28"/>
        </w:rPr>
        <w:t>з</w:t>
      </w:r>
      <w:r w:rsidRPr="0090720C">
        <w:rPr>
          <w:bCs/>
          <w:sz w:val="28"/>
          <w:szCs w:val="28"/>
        </w:rPr>
        <w:t>артана в период кормления грудью, не рекомендуется назначать этот препарат. Желательно альтернативное лечение препаратами с лучше изученным профилем безопасности относительно кормления грудью, особенно в период новорожденности или если ребенок недоношенный.</w:t>
      </w:r>
    </w:p>
    <w:p w14:paraId="5335AE75" w14:textId="77777777" w:rsidR="00451EA6" w:rsidRPr="0090720C" w:rsidRDefault="00D274C5" w:rsidP="00451EA6">
      <w:pPr>
        <w:jc w:val="both"/>
        <w:rPr>
          <w:b/>
          <w:bCs/>
          <w:sz w:val="28"/>
          <w:szCs w:val="28"/>
        </w:rPr>
      </w:pPr>
      <w:r w:rsidRPr="0090720C">
        <w:rPr>
          <w:i/>
          <w:iCs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  <w:r w:rsidR="00451EA6" w:rsidRPr="0090720C">
        <w:rPr>
          <w:b/>
          <w:bCs/>
          <w:sz w:val="28"/>
          <w:szCs w:val="28"/>
        </w:rPr>
        <w:t xml:space="preserve"> </w:t>
      </w:r>
    </w:p>
    <w:p w14:paraId="4D729A84" w14:textId="77777777" w:rsidR="00E634AF" w:rsidRPr="0090720C" w:rsidRDefault="00ED2D6D" w:rsidP="00E634AF">
      <w:pPr>
        <w:jc w:val="both"/>
        <w:rPr>
          <w:noProof/>
          <w:sz w:val="28"/>
          <w:szCs w:val="28"/>
        </w:rPr>
      </w:pPr>
      <w:r w:rsidRPr="0090720C">
        <w:rPr>
          <w:sz w:val="28"/>
          <w:szCs w:val="28"/>
        </w:rPr>
        <w:t>Данные относительно влияния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на способность управлять автотранспортом или другими механизмами ограничены. Следует учитывать возможность развития таких побочных реакций как головокружение и сонливость, особенно в начале лечения и при повышении дозы препарата</w:t>
      </w:r>
      <w:r w:rsidR="00C12BF6" w:rsidRPr="0090720C">
        <w:rPr>
          <w:noProof/>
          <w:sz w:val="28"/>
          <w:szCs w:val="28"/>
        </w:rPr>
        <w:t>.</w:t>
      </w:r>
    </w:p>
    <w:p w14:paraId="409E95E4" w14:textId="77777777" w:rsidR="00C80BB9" w:rsidRPr="0090720C" w:rsidRDefault="00C80BB9" w:rsidP="00451EA6">
      <w:pPr>
        <w:jc w:val="both"/>
        <w:rPr>
          <w:bCs/>
          <w:sz w:val="28"/>
          <w:szCs w:val="28"/>
        </w:rPr>
      </w:pPr>
    </w:p>
    <w:p w14:paraId="1EE920CD" w14:textId="77777777" w:rsidR="00775EFA" w:rsidRPr="0090720C" w:rsidRDefault="00775EFA" w:rsidP="00775EFA">
      <w:pPr>
        <w:jc w:val="both"/>
        <w:rPr>
          <w:sz w:val="28"/>
        </w:rPr>
      </w:pPr>
      <w:r w:rsidRPr="0090720C">
        <w:rPr>
          <w:b/>
          <w:sz w:val="28"/>
        </w:rPr>
        <w:t>Передозировка</w:t>
      </w:r>
      <w:r w:rsidR="00B272C6" w:rsidRPr="0090720C">
        <w:rPr>
          <w:b/>
          <w:sz w:val="28"/>
        </w:rPr>
        <w:t>.</w:t>
      </w:r>
    </w:p>
    <w:p w14:paraId="709C0B32" w14:textId="77777777" w:rsidR="00ED2D6D" w:rsidRPr="0090720C" w:rsidRDefault="00ED2D6D" w:rsidP="00ED2D6D">
      <w:pPr>
        <w:jc w:val="both"/>
        <w:rPr>
          <w:i/>
          <w:color w:val="000000"/>
          <w:sz w:val="28"/>
          <w:szCs w:val="28"/>
        </w:rPr>
      </w:pPr>
      <w:r w:rsidRPr="0090720C">
        <w:rPr>
          <w:i/>
          <w:color w:val="000000"/>
          <w:sz w:val="28"/>
          <w:szCs w:val="28"/>
        </w:rPr>
        <w:t>Симптомы передозировки.</w:t>
      </w:r>
    </w:p>
    <w:p w14:paraId="2D667C3E" w14:textId="77777777" w:rsidR="00ED2D6D" w:rsidRPr="0090720C" w:rsidRDefault="00ED2D6D" w:rsidP="00ED2D6D">
      <w:pPr>
        <w:jc w:val="both"/>
        <w:rPr>
          <w:sz w:val="28"/>
          <w:szCs w:val="28"/>
        </w:rPr>
      </w:pPr>
      <w:r w:rsidRPr="0090720C">
        <w:rPr>
          <w:color w:val="000000"/>
          <w:sz w:val="28"/>
          <w:szCs w:val="28"/>
        </w:rPr>
        <w:t>Данные относительно передозировки ло</w:t>
      </w:r>
      <w:r w:rsidR="00603655" w:rsidRPr="0090720C">
        <w:rPr>
          <w:color w:val="000000"/>
          <w:sz w:val="28"/>
          <w:szCs w:val="28"/>
        </w:rPr>
        <w:t>з</w:t>
      </w:r>
      <w:r w:rsidRPr="0090720C">
        <w:rPr>
          <w:color w:val="000000"/>
          <w:sz w:val="28"/>
          <w:szCs w:val="28"/>
        </w:rPr>
        <w:t>артана ограниченные.</w:t>
      </w:r>
      <w:r w:rsidRPr="0090720C">
        <w:rPr>
          <w:sz w:val="28"/>
          <w:szCs w:val="28"/>
        </w:rPr>
        <w:t xml:space="preserve"> Наиболее вероятными проявлениями передозировки являются гипотензия и тахикардия; брадикардия может быть следствием парасимпатической (</w:t>
      </w:r>
      <w:proofErr w:type="spellStart"/>
      <w:r w:rsidRPr="0090720C">
        <w:rPr>
          <w:sz w:val="28"/>
          <w:szCs w:val="28"/>
        </w:rPr>
        <w:t>вагусной</w:t>
      </w:r>
      <w:proofErr w:type="spellEnd"/>
      <w:r w:rsidRPr="0090720C">
        <w:rPr>
          <w:sz w:val="28"/>
          <w:szCs w:val="28"/>
        </w:rPr>
        <w:t xml:space="preserve">) стимуляции. </w:t>
      </w:r>
    </w:p>
    <w:p w14:paraId="4FB932C2" w14:textId="77777777" w:rsidR="001002DE" w:rsidRPr="0090720C" w:rsidRDefault="00ED2D6D" w:rsidP="00ED2D6D">
      <w:pPr>
        <w:ind w:right="34"/>
        <w:jc w:val="both"/>
        <w:rPr>
          <w:noProof/>
          <w:sz w:val="28"/>
          <w:szCs w:val="28"/>
        </w:rPr>
      </w:pPr>
      <w:r w:rsidRPr="0090720C">
        <w:rPr>
          <w:i/>
          <w:sz w:val="28"/>
          <w:szCs w:val="28"/>
        </w:rPr>
        <w:t xml:space="preserve">Лечение. </w:t>
      </w:r>
      <w:r w:rsidRPr="0090720C">
        <w:rPr>
          <w:sz w:val="28"/>
          <w:szCs w:val="28"/>
        </w:rPr>
        <w:t>Лечение зависит от продолжительности времени, которое прошло после приема препарата, а также от характера и тяжести симптомов. Приоритетной мерой должна быть стабилизация сердечно-сосудистой системы. После перорального приема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артана показано применение активированного угля в двойной дозе. Позже следует часто контролировать основные показатели жизнедеятельности организма и корректировать при необходимости. Ло</w:t>
      </w:r>
      <w:r w:rsidR="00603655" w:rsidRPr="0090720C">
        <w:rPr>
          <w:sz w:val="28"/>
          <w:szCs w:val="28"/>
        </w:rPr>
        <w:t>з</w:t>
      </w:r>
      <w:r w:rsidRPr="0090720C">
        <w:rPr>
          <w:sz w:val="28"/>
          <w:szCs w:val="28"/>
        </w:rPr>
        <w:t>артан и его активные метаболиты не выводятся при проведении гемодиализа</w:t>
      </w:r>
      <w:r w:rsidR="00F85E70" w:rsidRPr="0090720C">
        <w:rPr>
          <w:sz w:val="28"/>
          <w:szCs w:val="28"/>
        </w:rPr>
        <w:t>.</w:t>
      </w:r>
      <w:r w:rsidR="001002DE" w:rsidRPr="0090720C">
        <w:rPr>
          <w:noProof/>
          <w:sz w:val="28"/>
          <w:szCs w:val="28"/>
        </w:rPr>
        <w:t xml:space="preserve"> </w:t>
      </w:r>
    </w:p>
    <w:p w14:paraId="0EDD2D52" w14:textId="77777777" w:rsidR="00834795" w:rsidRPr="0090720C" w:rsidRDefault="00834795" w:rsidP="00834795">
      <w:pPr>
        <w:jc w:val="both"/>
        <w:rPr>
          <w:b/>
          <w:sz w:val="28"/>
          <w:szCs w:val="28"/>
        </w:rPr>
      </w:pPr>
    </w:p>
    <w:p w14:paraId="56206B65" w14:textId="77777777" w:rsidR="007548E7" w:rsidRPr="0090720C" w:rsidRDefault="00775EFA" w:rsidP="00775EFA">
      <w:pPr>
        <w:jc w:val="both"/>
        <w:rPr>
          <w:b/>
          <w:sz w:val="28"/>
        </w:rPr>
      </w:pPr>
      <w:r w:rsidRPr="0090720C">
        <w:rPr>
          <w:b/>
          <w:sz w:val="28"/>
        </w:rPr>
        <w:t xml:space="preserve">Форма выпуска и упаковка </w:t>
      </w:r>
    </w:p>
    <w:p w14:paraId="34C4DBE8" w14:textId="77777777" w:rsidR="00F8658C" w:rsidRPr="0090720C" w:rsidRDefault="00F8658C" w:rsidP="00F8658C">
      <w:pPr>
        <w:tabs>
          <w:tab w:val="left" w:pos="4253"/>
          <w:tab w:val="left" w:pos="6521"/>
        </w:tabs>
        <w:jc w:val="both"/>
        <w:rPr>
          <w:rFonts w:eastAsia="Batang"/>
          <w:snapToGrid w:val="0"/>
          <w:color w:val="000000"/>
          <w:sz w:val="28"/>
          <w:szCs w:val="28"/>
        </w:rPr>
      </w:pPr>
      <w:r w:rsidRPr="0090720C">
        <w:rPr>
          <w:rFonts w:eastAsia="Batang"/>
          <w:snapToGrid w:val="0"/>
          <w:color w:val="000000"/>
          <w:sz w:val="28"/>
          <w:szCs w:val="28"/>
        </w:rPr>
        <w:t xml:space="preserve">По 14 таблеток (для дозировки 25 мг, 50 мг) и по 10 таблеток (для дозировки 100 мг) помещают в контурную ячейковую упаковку из пленки поливинилхлоридной/поливинилиденхлоридной (ПВХ/ПВдХ) и фольги алюминиевой. </w:t>
      </w:r>
    </w:p>
    <w:p w14:paraId="7F35216E" w14:textId="77777777" w:rsidR="00F8658C" w:rsidRPr="0090720C" w:rsidRDefault="00F8658C" w:rsidP="00F8658C">
      <w:pPr>
        <w:tabs>
          <w:tab w:val="left" w:pos="4253"/>
          <w:tab w:val="left" w:pos="6521"/>
        </w:tabs>
        <w:jc w:val="both"/>
        <w:rPr>
          <w:rFonts w:eastAsia="Batang"/>
          <w:snapToGrid w:val="0"/>
          <w:color w:val="000000"/>
          <w:sz w:val="28"/>
          <w:szCs w:val="28"/>
        </w:rPr>
      </w:pPr>
      <w:r w:rsidRPr="0090720C">
        <w:rPr>
          <w:rFonts w:eastAsia="Batang"/>
          <w:snapToGrid w:val="0"/>
          <w:color w:val="000000"/>
          <w:sz w:val="28"/>
          <w:szCs w:val="28"/>
        </w:rPr>
        <w:t>По 1 или 2 контурных ячейковых упаковки (для 14 таблеток) и по 3 контурных ячейковых упаковки (для 10 таблеток) вместе с инструкцией по медицинскому применению на государственном и русском языках помещают в пачку из картона.</w:t>
      </w:r>
    </w:p>
    <w:p w14:paraId="3450641C" w14:textId="77777777" w:rsidR="00F8658C" w:rsidRPr="0090720C" w:rsidRDefault="00F8658C" w:rsidP="00B0644E">
      <w:pPr>
        <w:ind w:right="-108"/>
        <w:jc w:val="both"/>
        <w:rPr>
          <w:sz w:val="28"/>
          <w:szCs w:val="28"/>
        </w:rPr>
      </w:pPr>
    </w:p>
    <w:p w14:paraId="0B1D566C" w14:textId="77777777" w:rsidR="00775EFA" w:rsidRPr="0090720C" w:rsidRDefault="00B051DF" w:rsidP="00775EFA">
      <w:pPr>
        <w:jc w:val="both"/>
        <w:rPr>
          <w:b/>
          <w:sz w:val="28"/>
        </w:rPr>
      </w:pPr>
      <w:r w:rsidRPr="0090720C">
        <w:rPr>
          <w:b/>
          <w:sz w:val="28"/>
        </w:rPr>
        <w:t>Хранение</w:t>
      </w:r>
    </w:p>
    <w:p w14:paraId="7F893550" w14:textId="77777777" w:rsidR="00775EFA" w:rsidRPr="0090720C" w:rsidRDefault="0015233D" w:rsidP="00775EFA">
      <w:pPr>
        <w:jc w:val="both"/>
        <w:rPr>
          <w:sz w:val="28"/>
        </w:rPr>
      </w:pPr>
      <w:r w:rsidRPr="0090720C">
        <w:rPr>
          <w:sz w:val="28"/>
        </w:rPr>
        <w:t>В сухом,</w:t>
      </w:r>
      <w:r w:rsidR="00DC2B90" w:rsidRPr="0090720C">
        <w:rPr>
          <w:sz w:val="28"/>
        </w:rPr>
        <w:t xml:space="preserve"> </w:t>
      </w:r>
      <w:r w:rsidR="00775EFA" w:rsidRPr="0090720C">
        <w:rPr>
          <w:sz w:val="28"/>
        </w:rPr>
        <w:t>защищенном от света месте</w:t>
      </w:r>
      <w:r w:rsidRPr="0090720C">
        <w:rPr>
          <w:sz w:val="28"/>
        </w:rPr>
        <w:t xml:space="preserve"> </w:t>
      </w:r>
      <w:r w:rsidR="00775EFA" w:rsidRPr="0090720C">
        <w:rPr>
          <w:sz w:val="28"/>
        </w:rPr>
        <w:t xml:space="preserve"> при температуре не выше 25ºС. </w:t>
      </w:r>
    </w:p>
    <w:p w14:paraId="4DCF3439" w14:textId="77777777" w:rsidR="00775EFA" w:rsidRPr="0090720C" w:rsidRDefault="00775EFA" w:rsidP="00775EFA">
      <w:pPr>
        <w:jc w:val="both"/>
        <w:rPr>
          <w:sz w:val="28"/>
        </w:rPr>
      </w:pPr>
      <w:r w:rsidRPr="0090720C">
        <w:rPr>
          <w:sz w:val="28"/>
        </w:rPr>
        <w:lastRenderedPageBreak/>
        <w:t>Хранить в недоступном для детей месте!</w:t>
      </w:r>
    </w:p>
    <w:p w14:paraId="211359C8" w14:textId="77777777" w:rsidR="007E4043" w:rsidRPr="0090720C" w:rsidRDefault="007E4043" w:rsidP="00775EFA">
      <w:pPr>
        <w:jc w:val="both"/>
        <w:rPr>
          <w:sz w:val="28"/>
        </w:rPr>
      </w:pPr>
    </w:p>
    <w:p w14:paraId="7E6816C8" w14:textId="77777777" w:rsidR="00775EFA" w:rsidRPr="0090720C" w:rsidRDefault="00775EFA" w:rsidP="00775EFA">
      <w:pPr>
        <w:jc w:val="both"/>
        <w:rPr>
          <w:b/>
          <w:sz w:val="28"/>
        </w:rPr>
      </w:pPr>
      <w:r w:rsidRPr="0090720C">
        <w:rPr>
          <w:b/>
          <w:sz w:val="28"/>
        </w:rPr>
        <w:t>Срок хранения</w:t>
      </w:r>
    </w:p>
    <w:p w14:paraId="7A3F01A5" w14:textId="77777777" w:rsidR="00775EFA" w:rsidRPr="0090720C" w:rsidRDefault="000230A7" w:rsidP="00775EFA">
      <w:pPr>
        <w:jc w:val="both"/>
        <w:rPr>
          <w:sz w:val="28"/>
        </w:rPr>
      </w:pPr>
      <w:r w:rsidRPr="0090720C">
        <w:rPr>
          <w:sz w:val="28"/>
        </w:rPr>
        <w:t>3</w:t>
      </w:r>
      <w:r w:rsidR="00775EFA" w:rsidRPr="0090720C">
        <w:rPr>
          <w:sz w:val="28"/>
        </w:rPr>
        <w:t xml:space="preserve"> года</w:t>
      </w:r>
    </w:p>
    <w:p w14:paraId="5E2F150B" w14:textId="77777777" w:rsidR="00BD6CED" w:rsidRPr="0090720C" w:rsidRDefault="00BD6CED" w:rsidP="00775EFA">
      <w:pPr>
        <w:jc w:val="both"/>
        <w:rPr>
          <w:b/>
          <w:sz w:val="28"/>
        </w:rPr>
      </w:pPr>
    </w:p>
    <w:p w14:paraId="4F473BCF" w14:textId="77777777" w:rsidR="00775EFA" w:rsidRPr="0090720C" w:rsidRDefault="00775EFA" w:rsidP="00775EFA">
      <w:pPr>
        <w:jc w:val="both"/>
        <w:rPr>
          <w:b/>
          <w:sz w:val="28"/>
        </w:rPr>
      </w:pPr>
      <w:r w:rsidRPr="0090720C">
        <w:rPr>
          <w:b/>
          <w:sz w:val="28"/>
        </w:rPr>
        <w:t>Условия отпуска из аптек</w:t>
      </w:r>
    </w:p>
    <w:p w14:paraId="7ACE54DA" w14:textId="77777777" w:rsidR="005E37D9" w:rsidRPr="0090720C" w:rsidRDefault="00606760" w:rsidP="00775EFA">
      <w:pPr>
        <w:jc w:val="both"/>
        <w:rPr>
          <w:sz w:val="28"/>
          <w:szCs w:val="28"/>
        </w:rPr>
      </w:pPr>
      <w:r w:rsidRPr="0090720C">
        <w:rPr>
          <w:sz w:val="28"/>
        </w:rPr>
        <w:t xml:space="preserve">По рецепту </w:t>
      </w:r>
      <w:r w:rsidR="00775EFA" w:rsidRPr="0090720C">
        <w:rPr>
          <w:sz w:val="28"/>
        </w:rPr>
        <w:t xml:space="preserve"> </w:t>
      </w:r>
    </w:p>
    <w:p w14:paraId="589A3B89" w14:textId="77777777" w:rsidR="005E37D9" w:rsidRPr="0090720C" w:rsidRDefault="005E37D9" w:rsidP="005E37D9">
      <w:pPr>
        <w:pStyle w:val="52"/>
        <w:shd w:val="clear" w:color="auto" w:fill="auto"/>
        <w:spacing w:after="0" w:line="240" w:lineRule="auto"/>
        <w:ind w:left="20"/>
        <w:rPr>
          <w:b/>
          <w:sz w:val="28"/>
          <w:szCs w:val="28"/>
        </w:rPr>
      </w:pPr>
    </w:p>
    <w:p w14:paraId="2FEAD8DA" w14:textId="77777777" w:rsidR="00451EA6" w:rsidRPr="0090720C" w:rsidRDefault="005E37D9" w:rsidP="00451EA6">
      <w:pPr>
        <w:pStyle w:val="52"/>
        <w:shd w:val="clear" w:color="auto" w:fill="auto"/>
        <w:spacing w:after="0" w:line="240" w:lineRule="auto"/>
        <w:ind w:left="20"/>
        <w:rPr>
          <w:b/>
          <w:sz w:val="28"/>
          <w:szCs w:val="28"/>
        </w:rPr>
      </w:pPr>
      <w:r w:rsidRPr="0090720C">
        <w:rPr>
          <w:b/>
          <w:sz w:val="28"/>
          <w:szCs w:val="28"/>
        </w:rPr>
        <w:t>Производитель</w:t>
      </w:r>
    </w:p>
    <w:p w14:paraId="5F8DF41E" w14:textId="77777777" w:rsidR="00D274C5" w:rsidRPr="0090720C" w:rsidRDefault="00D274C5" w:rsidP="00D274C5">
      <w:pPr>
        <w:pStyle w:val="52"/>
        <w:shd w:val="clear" w:color="auto" w:fill="auto"/>
        <w:spacing w:after="0" w:line="240" w:lineRule="auto"/>
        <w:ind w:left="20"/>
        <w:rPr>
          <w:spacing w:val="0"/>
          <w:sz w:val="28"/>
          <w:szCs w:val="24"/>
          <w:lang w:eastAsia="ru-RU"/>
        </w:rPr>
      </w:pPr>
      <w:r w:rsidRPr="0090720C">
        <w:rPr>
          <w:spacing w:val="0"/>
          <w:sz w:val="28"/>
          <w:szCs w:val="24"/>
          <w:lang w:eastAsia="ru-RU"/>
        </w:rPr>
        <w:t>OOO «КУСУМ ФАРМ»</w:t>
      </w:r>
    </w:p>
    <w:p w14:paraId="63DB0354" w14:textId="77777777" w:rsidR="005E37D9" w:rsidRPr="0090720C" w:rsidRDefault="00D274C5" w:rsidP="00D274C5">
      <w:pPr>
        <w:pStyle w:val="52"/>
        <w:shd w:val="clear" w:color="auto" w:fill="auto"/>
        <w:spacing w:after="0" w:line="240" w:lineRule="auto"/>
        <w:rPr>
          <w:spacing w:val="0"/>
          <w:sz w:val="28"/>
          <w:szCs w:val="24"/>
          <w:lang w:eastAsia="ru-RU"/>
        </w:rPr>
      </w:pPr>
      <w:r w:rsidRPr="0090720C">
        <w:rPr>
          <w:spacing w:val="0"/>
          <w:sz w:val="28"/>
          <w:szCs w:val="24"/>
          <w:lang w:eastAsia="ru-RU"/>
        </w:rPr>
        <w:t>40020, Украина, Сумская область, г. Сумы, ул. Скрябина, 54.</w:t>
      </w:r>
    </w:p>
    <w:p w14:paraId="641BA4F3" w14:textId="77777777" w:rsidR="000F1BB8" w:rsidRPr="0090720C" w:rsidRDefault="000F1BB8" w:rsidP="00451EA6">
      <w:pPr>
        <w:pStyle w:val="52"/>
        <w:shd w:val="clear" w:color="auto" w:fill="auto"/>
        <w:spacing w:after="0" w:line="240" w:lineRule="auto"/>
        <w:rPr>
          <w:sz w:val="28"/>
          <w:szCs w:val="28"/>
        </w:rPr>
      </w:pPr>
    </w:p>
    <w:p w14:paraId="1393ECA6" w14:textId="77777777" w:rsidR="005E37D9" w:rsidRPr="0090720C" w:rsidRDefault="00F5785F" w:rsidP="00C2365F">
      <w:pPr>
        <w:pStyle w:val="10"/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  <w:r w:rsidRPr="0090720C">
        <w:rPr>
          <w:b/>
          <w:sz w:val="28"/>
          <w:szCs w:val="28"/>
        </w:rPr>
        <w:t>Держатель</w:t>
      </w:r>
      <w:r w:rsidR="005E37D9" w:rsidRPr="0090720C">
        <w:rPr>
          <w:b/>
          <w:sz w:val="28"/>
          <w:szCs w:val="28"/>
        </w:rPr>
        <w:t xml:space="preserve"> регистрационного удостоверения</w:t>
      </w:r>
    </w:p>
    <w:p w14:paraId="2CEA6523" w14:textId="77777777" w:rsidR="005E37D9" w:rsidRPr="0090720C" w:rsidRDefault="00EF3192" w:rsidP="005E37D9">
      <w:pPr>
        <w:pStyle w:val="10"/>
        <w:shd w:val="clear" w:color="auto" w:fill="auto"/>
        <w:spacing w:before="0" w:line="240" w:lineRule="auto"/>
        <w:ind w:left="23"/>
        <w:jc w:val="both"/>
        <w:rPr>
          <w:sz w:val="28"/>
          <w:szCs w:val="28"/>
        </w:rPr>
      </w:pPr>
      <w:r w:rsidRPr="0090720C">
        <w:rPr>
          <w:sz w:val="28"/>
          <w:szCs w:val="28"/>
        </w:rPr>
        <w:t>ООО «</w:t>
      </w:r>
      <w:r w:rsidR="00D274C5" w:rsidRPr="0090720C">
        <w:rPr>
          <w:sz w:val="28"/>
          <w:szCs w:val="28"/>
        </w:rPr>
        <w:t>КУСУМ ФАРМ</w:t>
      </w:r>
      <w:r w:rsidRPr="0090720C">
        <w:rPr>
          <w:sz w:val="28"/>
          <w:szCs w:val="28"/>
        </w:rPr>
        <w:t>», Украина</w:t>
      </w:r>
    </w:p>
    <w:p w14:paraId="3736B879" w14:textId="77777777" w:rsidR="002C4EEB" w:rsidRPr="0090720C" w:rsidRDefault="002C4EEB" w:rsidP="002C4EEB">
      <w:pPr>
        <w:pStyle w:val="a6"/>
        <w:tabs>
          <w:tab w:val="left" w:pos="708"/>
        </w:tabs>
        <w:jc w:val="both"/>
        <w:rPr>
          <w:b/>
          <w:sz w:val="28"/>
          <w:szCs w:val="28"/>
        </w:rPr>
      </w:pPr>
    </w:p>
    <w:p w14:paraId="494FBBBE" w14:textId="77777777" w:rsidR="00D274C5" w:rsidRPr="0090720C" w:rsidRDefault="00D274C5" w:rsidP="00D274C5">
      <w:pPr>
        <w:pStyle w:val="2"/>
        <w:spacing w:after="0" w:line="240" w:lineRule="auto"/>
        <w:jc w:val="both"/>
        <w:rPr>
          <w:b/>
          <w:bCs/>
          <w:sz w:val="28"/>
          <w:szCs w:val="28"/>
          <w:lang w:eastAsia="de-DE"/>
        </w:rPr>
      </w:pPr>
      <w:r w:rsidRPr="008860C0">
        <w:rPr>
          <w:b/>
          <w:color w:val="000000"/>
          <w:sz w:val="28"/>
          <w:szCs w:val="28"/>
        </w:rPr>
        <w:t xml:space="preserve">Наименование, адрес и контактные данные </w:t>
      </w:r>
      <w:r w:rsidR="008860C0" w:rsidRPr="008860C0">
        <w:rPr>
          <w:b/>
          <w:iCs/>
          <w:sz w:val="28"/>
          <w:szCs w:val="28"/>
          <w:lang w:val="kk-KZ"/>
        </w:rPr>
        <w:t>(телефон,  факс,  электронная  почта)</w:t>
      </w:r>
      <w:r w:rsidR="008860C0">
        <w:rPr>
          <w:b/>
          <w:i/>
          <w:iCs/>
          <w:sz w:val="28"/>
          <w:szCs w:val="28"/>
          <w:lang w:val="kk-KZ"/>
        </w:rPr>
        <w:t xml:space="preserve"> </w:t>
      </w:r>
      <w:r w:rsidRPr="0090720C">
        <w:rPr>
          <w:b/>
          <w:color w:val="000000"/>
          <w:sz w:val="28"/>
          <w:szCs w:val="28"/>
        </w:rPr>
        <w:t>организации на территории Республики Казахстан, принимающей претензии (предложения) по качеству лекарственных средств от потребителей</w:t>
      </w:r>
      <w:r w:rsidRPr="0090720C">
        <w:rPr>
          <w:b/>
          <w:sz w:val="28"/>
          <w:szCs w:val="28"/>
          <w:lang w:val="de-DE" w:eastAsia="de-DE"/>
        </w:rPr>
        <w:t xml:space="preserve">: </w:t>
      </w:r>
    </w:p>
    <w:p w14:paraId="12E2544C" w14:textId="77777777" w:rsidR="00D274C5" w:rsidRPr="0090720C" w:rsidRDefault="00D274C5" w:rsidP="00D274C5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ТОО «Дәрі-Фарм (Казахстан)», г. Алматы, пр. Достык, 117/6, БЦ «Хан-Тенгри».</w:t>
      </w:r>
    </w:p>
    <w:p w14:paraId="0FC8AD25" w14:textId="77777777" w:rsidR="00D274C5" w:rsidRPr="0090720C" w:rsidRDefault="00D274C5" w:rsidP="00D274C5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Телефон/факс: 8(727) 295-26-50 </w:t>
      </w:r>
    </w:p>
    <w:p w14:paraId="20A72D80" w14:textId="77777777" w:rsidR="00D274C5" w:rsidRPr="002A1EE5" w:rsidRDefault="00D274C5" w:rsidP="00D274C5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0C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2A1E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0720C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2A1EE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90720C">
          <w:rPr>
            <w:rStyle w:val="ac"/>
            <w:rFonts w:ascii="Times New Roman" w:hAnsi="Times New Roman"/>
            <w:sz w:val="28"/>
            <w:szCs w:val="28"/>
            <w:lang w:val="en-US"/>
          </w:rPr>
          <w:t>claims</w:t>
        </w:r>
        <w:r w:rsidRPr="002A1EE5">
          <w:rPr>
            <w:rStyle w:val="ac"/>
            <w:rFonts w:ascii="Times New Roman" w:hAnsi="Times New Roman"/>
            <w:sz w:val="28"/>
            <w:szCs w:val="28"/>
          </w:rPr>
          <w:t>@</w:t>
        </w:r>
        <w:proofErr w:type="spellStart"/>
        <w:r w:rsidRPr="0090720C">
          <w:rPr>
            <w:rStyle w:val="ac"/>
            <w:rFonts w:ascii="Times New Roman" w:hAnsi="Times New Roman"/>
            <w:sz w:val="28"/>
            <w:szCs w:val="28"/>
            <w:lang w:val="en-US"/>
          </w:rPr>
          <w:t>kusum</w:t>
        </w:r>
        <w:proofErr w:type="spellEnd"/>
        <w:r w:rsidRPr="002A1EE5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90720C">
          <w:rPr>
            <w:rStyle w:val="ac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  <w:r w:rsidRPr="002A1E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8893ECC" w14:textId="77777777" w:rsidR="00D274C5" w:rsidRPr="002A1EE5" w:rsidRDefault="00D274C5" w:rsidP="00D274C5">
      <w:pPr>
        <w:pStyle w:val="ad"/>
        <w:jc w:val="both"/>
        <w:rPr>
          <w:sz w:val="28"/>
          <w:szCs w:val="28"/>
        </w:rPr>
      </w:pPr>
    </w:p>
    <w:p w14:paraId="543AF3E5" w14:textId="77777777" w:rsidR="00D274C5" w:rsidRPr="0090720C" w:rsidRDefault="00354FBB" w:rsidP="00D274C5">
      <w:pPr>
        <w:pStyle w:val="2"/>
        <w:spacing w:after="0" w:line="240" w:lineRule="auto"/>
        <w:jc w:val="both"/>
        <w:rPr>
          <w:b/>
          <w:bCs/>
          <w:sz w:val="28"/>
          <w:szCs w:val="28"/>
          <w:lang w:eastAsia="de-DE"/>
        </w:rPr>
      </w:pPr>
      <w:r w:rsidRPr="008860C0">
        <w:rPr>
          <w:b/>
          <w:color w:val="000000"/>
          <w:sz w:val="28"/>
          <w:szCs w:val="28"/>
        </w:rPr>
        <w:t>Наименование, адрес и контактные</w:t>
      </w:r>
      <w:r w:rsidR="00D274C5" w:rsidRPr="008860C0">
        <w:rPr>
          <w:b/>
          <w:color w:val="000000"/>
          <w:sz w:val="28"/>
          <w:szCs w:val="28"/>
        </w:rPr>
        <w:t xml:space="preserve"> данные </w:t>
      </w:r>
      <w:r w:rsidR="008860C0" w:rsidRPr="008860C0">
        <w:rPr>
          <w:b/>
          <w:iCs/>
          <w:sz w:val="28"/>
          <w:szCs w:val="28"/>
          <w:lang w:val="kk-KZ"/>
        </w:rPr>
        <w:t>(телефон,  факс,  электронная  почта)</w:t>
      </w:r>
      <w:r w:rsidR="008860C0">
        <w:rPr>
          <w:b/>
          <w:i/>
          <w:iCs/>
          <w:sz w:val="28"/>
          <w:szCs w:val="28"/>
          <w:lang w:val="kk-KZ"/>
        </w:rPr>
        <w:t xml:space="preserve"> </w:t>
      </w:r>
      <w:r w:rsidR="00D274C5" w:rsidRPr="0090720C">
        <w:rPr>
          <w:b/>
          <w:color w:val="000000"/>
          <w:sz w:val="28"/>
          <w:szCs w:val="28"/>
        </w:rPr>
        <w:t xml:space="preserve">организации на территории Республики Казахстан, </w:t>
      </w:r>
      <w:proofErr w:type="spellStart"/>
      <w:r w:rsidR="00D274C5" w:rsidRPr="0090720C">
        <w:rPr>
          <w:b/>
          <w:color w:val="000000"/>
          <w:sz w:val="28"/>
          <w:szCs w:val="28"/>
          <w:lang w:val="de-DE" w:eastAsia="de-DE"/>
        </w:rPr>
        <w:t>ответственной</w:t>
      </w:r>
      <w:proofErr w:type="spellEnd"/>
      <w:r w:rsidR="00D274C5" w:rsidRPr="0090720C">
        <w:rPr>
          <w:b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="00D274C5" w:rsidRPr="0090720C">
        <w:rPr>
          <w:b/>
          <w:color w:val="000000"/>
          <w:sz w:val="28"/>
          <w:szCs w:val="28"/>
          <w:lang w:val="de-DE" w:eastAsia="de-DE"/>
        </w:rPr>
        <w:t>за</w:t>
      </w:r>
      <w:proofErr w:type="spellEnd"/>
      <w:r w:rsidR="00D274C5" w:rsidRPr="0090720C">
        <w:rPr>
          <w:b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="00D274C5" w:rsidRPr="0090720C">
        <w:rPr>
          <w:b/>
          <w:color w:val="000000"/>
          <w:sz w:val="28"/>
          <w:szCs w:val="28"/>
          <w:lang w:val="de-DE" w:eastAsia="de-DE"/>
        </w:rPr>
        <w:t>пострегистрационное</w:t>
      </w:r>
      <w:proofErr w:type="spellEnd"/>
      <w:r w:rsidR="00D274C5" w:rsidRPr="0090720C">
        <w:rPr>
          <w:b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="00D274C5" w:rsidRPr="0090720C">
        <w:rPr>
          <w:b/>
          <w:color w:val="000000"/>
          <w:sz w:val="28"/>
          <w:szCs w:val="28"/>
          <w:lang w:val="de-DE" w:eastAsia="de-DE"/>
        </w:rPr>
        <w:t>наблюдение</w:t>
      </w:r>
      <w:proofErr w:type="spellEnd"/>
      <w:r w:rsidR="00D274C5" w:rsidRPr="0090720C">
        <w:rPr>
          <w:b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="00D274C5" w:rsidRPr="0090720C">
        <w:rPr>
          <w:b/>
          <w:color w:val="000000"/>
          <w:sz w:val="28"/>
          <w:szCs w:val="28"/>
          <w:lang w:val="de-DE" w:eastAsia="de-DE"/>
        </w:rPr>
        <w:t>за</w:t>
      </w:r>
      <w:proofErr w:type="spellEnd"/>
      <w:r w:rsidR="00D274C5" w:rsidRPr="0090720C">
        <w:rPr>
          <w:b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="00D274C5" w:rsidRPr="0090720C">
        <w:rPr>
          <w:b/>
          <w:color w:val="000000"/>
          <w:sz w:val="28"/>
          <w:szCs w:val="28"/>
          <w:lang w:val="de-DE" w:eastAsia="de-DE"/>
        </w:rPr>
        <w:t>безопасностью</w:t>
      </w:r>
      <w:proofErr w:type="spellEnd"/>
      <w:r w:rsidR="00D274C5" w:rsidRPr="0090720C">
        <w:rPr>
          <w:b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="00D274C5" w:rsidRPr="0090720C">
        <w:rPr>
          <w:b/>
          <w:color w:val="000000"/>
          <w:sz w:val="28"/>
          <w:szCs w:val="28"/>
          <w:lang w:val="de-DE" w:eastAsia="de-DE"/>
        </w:rPr>
        <w:t>лекарственного</w:t>
      </w:r>
      <w:proofErr w:type="spellEnd"/>
      <w:r w:rsidR="00D274C5" w:rsidRPr="0090720C">
        <w:rPr>
          <w:b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="00D274C5" w:rsidRPr="0090720C">
        <w:rPr>
          <w:b/>
          <w:color w:val="000000"/>
          <w:sz w:val="28"/>
          <w:szCs w:val="28"/>
          <w:lang w:val="de-DE" w:eastAsia="de-DE"/>
        </w:rPr>
        <w:t>средства</w:t>
      </w:r>
      <w:proofErr w:type="spellEnd"/>
      <w:r w:rsidR="00D274C5" w:rsidRPr="0090720C">
        <w:rPr>
          <w:b/>
          <w:sz w:val="28"/>
          <w:szCs w:val="28"/>
          <w:lang w:val="de-DE" w:eastAsia="de-DE"/>
        </w:rPr>
        <w:t xml:space="preserve">: </w:t>
      </w:r>
    </w:p>
    <w:p w14:paraId="74AB8595" w14:textId="77777777" w:rsidR="00D274C5" w:rsidRPr="0090720C" w:rsidRDefault="00D274C5" w:rsidP="00D274C5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ТОО «Дәрі-Фарм (Казахстан)», г. Алматы, пр. Достык, 117/6, БЦ «Хан-Тенгри».  </w:t>
      </w:r>
    </w:p>
    <w:p w14:paraId="7330ACD2" w14:textId="77777777" w:rsidR="00D274C5" w:rsidRPr="0090720C" w:rsidRDefault="00D274C5" w:rsidP="00D274C5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0C">
        <w:rPr>
          <w:rFonts w:ascii="Times New Roman" w:eastAsia="Times New Roman" w:hAnsi="Times New Roman"/>
          <w:sz w:val="28"/>
          <w:szCs w:val="28"/>
          <w:lang w:eastAsia="ru-RU"/>
        </w:rPr>
        <w:t>Телефон/факс: 8(727) 295-26-50 </w:t>
      </w:r>
    </w:p>
    <w:p w14:paraId="2D62F2B2" w14:textId="77777777" w:rsidR="00B570F4" w:rsidRPr="00C2365F" w:rsidRDefault="00D274C5" w:rsidP="00D274C5">
      <w:pPr>
        <w:pStyle w:val="a6"/>
        <w:tabs>
          <w:tab w:val="left" w:pos="708"/>
        </w:tabs>
        <w:jc w:val="both"/>
        <w:rPr>
          <w:b/>
        </w:rPr>
      </w:pPr>
      <w:r w:rsidRPr="0090720C">
        <w:rPr>
          <w:sz w:val="28"/>
          <w:szCs w:val="28"/>
        </w:rPr>
        <w:t xml:space="preserve">Электронная почта: </w:t>
      </w:r>
      <w:hyperlink r:id="rId7" w:history="1">
        <w:r w:rsidRPr="0090720C">
          <w:rPr>
            <w:rStyle w:val="ac"/>
            <w:sz w:val="28"/>
            <w:szCs w:val="28"/>
            <w:lang w:val="en-US"/>
          </w:rPr>
          <w:t>phv</w:t>
        </w:r>
        <w:r w:rsidRPr="0090720C">
          <w:rPr>
            <w:rStyle w:val="ac"/>
            <w:sz w:val="28"/>
            <w:szCs w:val="28"/>
          </w:rPr>
          <w:t>@</w:t>
        </w:r>
        <w:r w:rsidRPr="0090720C">
          <w:rPr>
            <w:rStyle w:val="ac"/>
            <w:sz w:val="28"/>
            <w:szCs w:val="28"/>
            <w:lang w:val="en-US"/>
          </w:rPr>
          <w:t>kusum</w:t>
        </w:r>
        <w:r w:rsidRPr="0090720C">
          <w:rPr>
            <w:rStyle w:val="ac"/>
            <w:sz w:val="28"/>
            <w:szCs w:val="28"/>
          </w:rPr>
          <w:t>.</w:t>
        </w:r>
        <w:r w:rsidRPr="0090720C">
          <w:rPr>
            <w:rStyle w:val="ac"/>
            <w:sz w:val="28"/>
            <w:szCs w:val="28"/>
            <w:lang w:val="en-US"/>
          </w:rPr>
          <w:t>kz</w:t>
        </w:r>
      </w:hyperlink>
      <w:r w:rsidRPr="004B09E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sectPr w:rsidR="00B570F4" w:rsidRPr="00C2365F" w:rsidSect="008860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8070000" w:usb2="01000417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1B82"/>
    <w:multiLevelType w:val="hybridMultilevel"/>
    <w:tmpl w:val="AC80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4DE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44CF"/>
    <w:multiLevelType w:val="hybridMultilevel"/>
    <w:tmpl w:val="923EC662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A028A"/>
    <w:multiLevelType w:val="hybridMultilevel"/>
    <w:tmpl w:val="A33EF13E"/>
    <w:lvl w:ilvl="0" w:tplc="39886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6634C"/>
    <w:multiLevelType w:val="hybridMultilevel"/>
    <w:tmpl w:val="850ED61A"/>
    <w:lvl w:ilvl="0" w:tplc="6270F0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2C1F"/>
    <w:multiLevelType w:val="hybridMultilevel"/>
    <w:tmpl w:val="BEC2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834BF"/>
    <w:multiLevelType w:val="hybridMultilevel"/>
    <w:tmpl w:val="9C60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37DAC"/>
    <w:multiLevelType w:val="hybridMultilevel"/>
    <w:tmpl w:val="BD1E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32B07"/>
    <w:multiLevelType w:val="hybridMultilevel"/>
    <w:tmpl w:val="2A6606CC"/>
    <w:lvl w:ilvl="0" w:tplc="46CC7B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7543D"/>
    <w:multiLevelType w:val="multilevel"/>
    <w:tmpl w:val="C5E69C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7AB2576"/>
    <w:multiLevelType w:val="hybridMultilevel"/>
    <w:tmpl w:val="8BE6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2E"/>
    <w:rsid w:val="000011EC"/>
    <w:rsid w:val="00002ECD"/>
    <w:rsid w:val="00012A9B"/>
    <w:rsid w:val="00012BFB"/>
    <w:rsid w:val="00016AAB"/>
    <w:rsid w:val="00017E9B"/>
    <w:rsid w:val="000230A7"/>
    <w:rsid w:val="000234EF"/>
    <w:rsid w:val="00025AD4"/>
    <w:rsid w:val="000308B1"/>
    <w:rsid w:val="00041072"/>
    <w:rsid w:val="00045F40"/>
    <w:rsid w:val="00056050"/>
    <w:rsid w:val="0006592D"/>
    <w:rsid w:val="000706AB"/>
    <w:rsid w:val="00071CAA"/>
    <w:rsid w:val="0008191D"/>
    <w:rsid w:val="00083837"/>
    <w:rsid w:val="00085BC3"/>
    <w:rsid w:val="000B337D"/>
    <w:rsid w:val="000B5539"/>
    <w:rsid w:val="000C2FD2"/>
    <w:rsid w:val="000D0F81"/>
    <w:rsid w:val="000D43ED"/>
    <w:rsid w:val="000F1BB8"/>
    <w:rsid w:val="000F5B42"/>
    <w:rsid w:val="001002DE"/>
    <w:rsid w:val="00101247"/>
    <w:rsid w:val="00101E99"/>
    <w:rsid w:val="0011573C"/>
    <w:rsid w:val="00116F46"/>
    <w:rsid w:val="00122F30"/>
    <w:rsid w:val="00125DD0"/>
    <w:rsid w:val="001310A3"/>
    <w:rsid w:val="0015233D"/>
    <w:rsid w:val="0015583B"/>
    <w:rsid w:val="00161BF6"/>
    <w:rsid w:val="00165D04"/>
    <w:rsid w:val="00172734"/>
    <w:rsid w:val="00193891"/>
    <w:rsid w:val="00193F86"/>
    <w:rsid w:val="00195E6E"/>
    <w:rsid w:val="001A0E50"/>
    <w:rsid w:val="001C05EB"/>
    <w:rsid w:val="001C402B"/>
    <w:rsid w:val="001D1B3F"/>
    <w:rsid w:val="001F4DE5"/>
    <w:rsid w:val="00200632"/>
    <w:rsid w:val="0020474D"/>
    <w:rsid w:val="00210FAE"/>
    <w:rsid w:val="002179C2"/>
    <w:rsid w:val="002322D2"/>
    <w:rsid w:val="002353D6"/>
    <w:rsid w:val="00240762"/>
    <w:rsid w:val="00256FEF"/>
    <w:rsid w:val="00270C80"/>
    <w:rsid w:val="00277A95"/>
    <w:rsid w:val="00280DCB"/>
    <w:rsid w:val="00283FD8"/>
    <w:rsid w:val="002A1EE5"/>
    <w:rsid w:val="002B4FC7"/>
    <w:rsid w:val="002B7B33"/>
    <w:rsid w:val="002C4EEB"/>
    <w:rsid w:val="002C576B"/>
    <w:rsid w:val="002D139B"/>
    <w:rsid w:val="002E6760"/>
    <w:rsid w:val="002F4C2A"/>
    <w:rsid w:val="002F7809"/>
    <w:rsid w:val="00310D37"/>
    <w:rsid w:val="0031266F"/>
    <w:rsid w:val="00350463"/>
    <w:rsid w:val="00350D53"/>
    <w:rsid w:val="00354FBB"/>
    <w:rsid w:val="00361F95"/>
    <w:rsid w:val="00364CEE"/>
    <w:rsid w:val="00370BE4"/>
    <w:rsid w:val="0038111A"/>
    <w:rsid w:val="00382874"/>
    <w:rsid w:val="00385549"/>
    <w:rsid w:val="00386187"/>
    <w:rsid w:val="003A301A"/>
    <w:rsid w:val="003A409A"/>
    <w:rsid w:val="003B16BF"/>
    <w:rsid w:val="003B462A"/>
    <w:rsid w:val="003B50F1"/>
    <w:rsid w:val="003C5D79"/>
    <w:rsid w:val="003E6958"/>
    <w:rsid w:val="003F0407"/>
    <w:rsid w:val="003F652E"/>
    <w:rsid w:val="00407F53"/>
    <w:rsid w:val="00411FE0"/>
    <w:rsid w:val="004216B2"/>
    <w:rsid w:val="0042249E"/>
    <w:rsid w:val="0042749E"/>
    <w:rsid w:val="00433FAA"/>
    <w:rsid w:val="00437569"/>
    <w:rsid w:val="00441854"/>
    <w:rsid w:val="0044376E"/>
    <w:rsid w:val="00444F04"/>
    <w:rsid w:val="004514A7"/>
    <w:rsid w:val="00451EA6"/>
    <w:rsid w:val="00452398"/>
    <w:rsid w:val="00483E90"/>
    <w:rsid w:val="00485888"/>
    <w:rsid w:val="00487A76"/>
    <w:rsid w:val="004926B3"/>
    <w:rsid w:val="00496B07"/>
    <w:rsid w:val="004A7E86"/>
    <w:rsid w:val="004A7F86"/>
    <w:rsid w:val="004B02C2"/>
    <w:rsid w:val="004B09E9"/>
    <w:rsid w:val="004B4DAA"/>
    <w:rsid w:val="004B5DE3"/>
    <w:rsid w:val="004E4BF4"/>
    <w:rsid w:val="00503A18"/>
    <w:rsid w:val="00517099"/>
    <w:rsid w:val="005242F6"/>
    <w:rsid w:val="00532EB3"/>
    <w:rsid w:val="0054109A"/>
    <w:rsid w:val="00543650"/>
    <w:rsid w:val="00543A4B"/>
    <w:rsid w:val="00556C56"/>
    <w:rsid w:val="0056030B"/>
    <w:rsid w:val="00571C20"/>
    <w:rsid w:val="00576561"/>
    <w:rsid w:val="00576641"/>
    <w:rsid w:val="00577F7E"/>
    <w:rsid w:val="00580B2C"/>
    <w:rsid w:val="005934E7"/>
    <w:rsid w:val="005A04A9"/>
    <w:rsid w:val="005A0623"/>
    <w:rsid w:val="005A68EE"/>
    <w:rsid w:val="005B4D88"/>
    <w:rsid w:val="005B705E"/>
    <w:rsid w:val="005B7EF4"/>
    <w:rsid w:val="005C1AE5"/>
    <w:rsid w:val="005C4CA4"/>
    <w:rsid w:val="005E2C0D"/>
    <w:rsid w:val="005E37D9"/>
    <w:rsid w:val="005E45D9"/>
    <w:rsid w:val="005F56A3"/>
    <w:rsid w:val="005F7045"/>
    <w:rsid w:val="00603655"/>
    <w:rsid w:val="00606760"/>
    <w:rsid w:val="00637716"/>
    <w:rsid w:val="00663E14"/>
    <w:rsid w:val="00673784"/>
    <w:rsid w:val="00680825"/>
    <w:rsid w:val="00685F79"/>
    <w:rsid w:val="006A0B83"/>
    <w:rsid w:val="006A4F4A"/>
    <w:rsid w:val="006D18A1"/>
    <w:rsid w:val="006D5038"/>
    <w:rsid w:val="006D77D5"/>
    <w:rsid w:val="006E07F1"/>
    <w:rsid w:val="006E28CE"/>
    <w:rsid w:val="006F335B"/>
    <w:rsid w:val="006F651F"/>
    <w:rsid w:val="00714A15"/>
    <w:rsid w:val="00717119"/>
    <w:rsid w:val="00725F2E"/>
    <w:rsid w:val="007404CC"/>
    <w:rsid w:val="00743AFB"/>
    <w:rsid w:val="0075134C"/>
    <w:rsid w:val="007548E7"/>
    <w:rsid w:val="0076185D"/>
    <w:rsid w:val="00763693"/>
    <w:rsid w:val="00766EC0"/>
    <w:rsid w:val="00767CCA"/>
    <w:rsid w:val="007726FD"/>
    <w:rsid w:val="0077575B"/>
    <w:rsid w:val="00775EFA"/>
    <w:rsid w:val="00777AF3"/>
    <w:rsid w:val="00781B49"/>
    <w:rsid w:val="00790565"/>
    <w:rsid w:val="007960FC"/>
    <w:rsid w:val="007970C3"/>
    <w:rsid w:val="007A56E2"/>
    <w:rsid w:val="007C7B5A"/>
    <w:rsid w:val="007E0D1B"/>
    <w:rsid w:val="007E4043"/>
    <w:rsid w:val="007F1D6C"/>
    <w:rsid w:val="00812C05"/>
    <w:rsid w:val="008144DA"/>
    <w:rsid w:val="0081464D"/>
    <w:rsid w:val="00820424"/>
    <w:rsid w:val="0082773D"/>
    <w:rsid w:val="00827872"/>
    <w:rsid w:val="0083050A"/>
    <w:rsid w:val="00834795"/>
    <w:rsid w:val="00841D3D"/>
    <w:rsid w:val="00843EBA"/>
    <w:rsid w:val="008565B7"/>
    <w:rsid w:val="00864757"/>
    <w:rsid w:val="00864C0F"/>
    <w:rsid w:val="008860C0"/>
    <w:rsid w:val="00886B23"/>
    <w:rsid w:val="008D703C"/>
    <w:rsid w:val="008E054C"/>
    <w:rsid w:val="008E068D"/>
    <w:rsid w:val="008F2D18"/>
    <w:rsid w:val="008F2F7E"/>
    <w:rsid w:val="008F565E"/>
    <w:rsid w:val="0090720C"/>
    <w:rsid w:val="00910E9A"/>
    <w:rsid w:val="009162E5"/>
    <w:rsid w:val="009253B4"/>
    <w:rsid w:val="00931EA0"/>
    <w:rsid w:val="00936AD2"/>
    <w:rsid w:val="00970ED8"/>
    <w:rsid w:val="00981CBD"/>
    <w:rsid w:val="00985BB9"/>
    <w:rsid w:val="0099434F"/>
    <w:rsid w:val="009A246F"/>
    <w:rsid w:val="009A57A5"/>
    <w:rsid w:val="009B3999"/>
    <w:rsid w:val="009B58D6"/>
    <w:rsid w:val="009C7123"/>
    <w:rsid w:val="009D1642"/>
    <w:rsid w:val="009D2394"/>
    <w:rsid w:val="009E7798"/>
    <w:rsid w:val="00A20F35"/>
    <w:rsid w:val="00A2473D"/>
    <w:rsid w:val="00A5234F"/>
    <w:rsid w:val="00A52585"/>
    <w:rsid w:val="00A6342F"/>
    <w:rsid w:val="00A729D1"/>
    <w:rsid w:val="00A72A60"/>
    <w:rsid w:val="00A85E3A"/>
    <w:rsid w:val="00A94F99"/>
    <w:rsid w:val="00A953BD"/>
    <w:rsid w:val="00AA3746"/>
    <w:rsid w:val="00AC3402"/>
    <w:rsid w:val="00AC38FB"/>
    <w:rsid w:val="00AD0C6E"/>
    <w:rsid w:val="00AD32CE"/>
    <w:rsid w:val="00AD4285"/>
    <w:rsid w:val="00AD678A"/>
    <w:rsid w:val="00AF0214"/>
    <w:rsid w:val="00B051DF"/>
    <w:rsid w:val="00B05557"/>
    <w:rsid w:val="00B0644E"/>
    <w:rsid w:val="00B11C36"/>
    <w:rsid w:val="00B200C8"/>
    <w:rsid w:val="00B2189B"/>
    <w:rsid w:val="00B221F3"/>
    <w:rsid w:val="00B272C6"/>
    <w:rsid w:val="00B44502"/>
    <w:rsid w:val="00B45ADA"/>
    <w:rsid w:val="00B52853"/>
    <w:rsid w:val="00B570F4"/>
    <w:rsid w:val="00B6291B"/>
    <w:rsid w:val="00B63D28"/>
    <w:rsid w:val="00B6621A"/>
    <w:rsid w:val="00B70EC9"/>
    <w:rsid w:val="00B73200"/>
    <w:rsid w:val="00B76789"/>
    <w:rsid w:val="00B8678A"/>
    <w:rsid w:val="00B965A8"/>
    <w:rsid w:val="00BB24C0"/>
    <w:rsid w:val="00BB38BA"/>
    <w:rsid w:val="00BC0894"/>
    <w:rsid w:val="00BC1A9E"/>
    <w:rsid w:val="00BC4D0D"/>
    <w:rsid w:val="00BC5281"/>
    <w:rsid w:val="00BD0C0A"/>
    <w:rsid w:val="00BD6CED"/>
    <w:rsid w:val="00C04DEF"/>
    <w:rsid w:val="00C06456"/>
    <w:rsid w:val="00C12BF6"/>
    <w:rsid w:val="00C12E1B"/>
    <w:rsid w:val="00C15C9C"/>
    <w:rsid w:val="00C21B79"/>
    <w:rsid w:val="00C2365F"/>
    <w:rsid w:val="00C327E6"/>
    <w:rsid w:val="00C35B7A"/>
    <w:rsid w:val="00C37B86"/>
    <w:rsid w:val="00C426FA"/>
    <w:rsid w:val="00C56204"/>
    <w:rsid w:val="00C64085"/>
    <w:rsid w:val="00C77E87"/>
    <w:rsid w:val="00C80BB9"/>
    <w:rsid w:val="00C82BD1"/>
    <w:rsid w:val="00C917D5"/>
    <w:rsid w:val="00CA0AC9"/>
    <w:rsid w:val="00CA4249"/>
    <w:rsid w:val="00CA5DE2"/>
    <w:rsid w:val="00CB0943"/>
    <w:rsid w:val="00CD169F"/>
    <w:rsid w:val="00CD3677"/>
    <w:rsid w:val="00CE01A0"/>
    <w:rsid w:val="00CF58E7"/>
    <w:rsid w:val="00D034E3"/>
    <w:rsid w:val="00D047E9"/>
    <w:rsid w:val="00D0633F"/>
    <w:rsid w:val="00D1540D"/>
    <w:rsid w:val="00D274C5"/>
    <w:rsid w:val="00D3478B"/>
    <w:rsid w:val="00D3678D"/>
    <w:rsid w:val="00D37DD0"/>
    <w:rsid w:val="00D64475"/>
    <w:rsid w:val="00D707BD"/>
    <w:rsid w:val="00D7636A"/>
    <w:rsid w:val="00D84ED3"/>
    <w:rsid w:val="00D8736F"/>
    <w:rsid w:val="00DC2B90"/>
    <w:rsid w:val="00DD1991"/>
    <w:rsid w:val="00DD24B9"/>
    <w:rsid w:val="00DD6DAD"/>
    <w:rsid w:val="00DD6F09"/>
    <w:rsid w:val="00DE256D"/>
    <w:rsid w:val="00DE3DD6"/>
    <w:rsid w:val="00DE4C00"/>
    <w:rsid w:val="00DE5273"/>
    <w:rsid w:val="00DF202C"/>
    <w:rsid w:val="00DF4ADD"/>
    <w:rsid w:val="00E0221C"/>
    <w:rsid w:val="00E06664"/>
    <w:rsid w:val="00E21FFA"/>
    <w:rsid w:val="00E35A5D"/>
    <w:rsid w:val="00E47980"/>
    <w:rsid w:val="00E508A5"/>
    <w:rsid w:val="00E541CA"/>
    <w:rsid w:val="00E61990"/>
    <w:rsid w:val="00E62252"/>
    <w:rsid w:val="00E634AF"/>
    <w:rsid w:val="00E6553F"/>
    <w:rsid w:val="00E80441"/>
    <w:rsid w:val="00E930C7"/>
    <w:rsid w:val="00EB177F"/>
    <w:rsid w:val="00EB3AD6"/>
    <w:rsid w:val="00EB4C8A"/>
    <w:rsid w:val="00EC056E"/>
    <w:rsid w:val="00EC163A"/>
    <w:rsid w:val="00ED0597"/>
    <w:rsid w:val="00ED19BD"/>
    <w:rsid w:val="00ED2D6D"/>
    <w:rsid w:val="00EF3192"/>
    <w:rsid w:val="00F12C48"/>
    <w:rsid w:val="00F2014A"/>
    <w:rsid w:val="00F21588"/>
    <w:rsid w:val="00F253A9"/>
    <w:rsid w:val="00F33517"/>
    <w:rsid w:val="00F43312"/>
    <w:rsid w:val="00F44445"/>
    <w:rsid w:val="00F55FDF"/>
    <w:rsid w:val="00F5785F"/>
    <w:rsid w:val="00F61ECB"/>
    <w:rsid w:val="00F67FBF"/>
    <w:rsid w:val="00F71CAA"/>
    <w:rsid w:val="00F73594"/>
    <w:rsid w:val="00F85E70"/>
    <w:rsid w:val="00F8658C"/>
    <w:rsid w:val="00F94FA0"/>
    <w:rsid w:val="00F95F17"/>
    <w:rsid w:val="00FA1CE0"/>
    <w:rsid w:val="00FB3A7A"/>
    <w:rsid w:val="00FB52A6"/>
    <w:rsid w:val="00FC0D57"/>
    <w:rsid w:val="00FD4AA6"/>
    <w:rsid w:val="00FE2BB0"/>
    <w:rsid w:val="00FF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E8A0"/>
  <w15:docId w15:val="{96C9C60F-1EC7-4533-83E4-2ACBA402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70F4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570F4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E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570F4"/>
    <w:pPr>
      <w:keepNext/>
      <w:ind w:left="258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0F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570F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B570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B570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link w:val="10"/>
    <w:locked/>
    <w:rsid w:val="005E37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3"/>
    <w:rsid w:val="005E37D9"/>
    <w:pPr>
      <w:shd w:val="clear" w:color="auto" w:fill="FFFFFF"/>
      <w:spacing w:before="240" w:line="0" w:lineRule="atLeast"/>
    </w:pPr>
    <w:rPr>
      <w:sz w:val="26"/>
      <w:szCs w:val="26"/>
      <w:lang w:eastAsia="en-US"/>
    </w:rPr>
  </w:style>
  <w:style w:type="character" w:customStyle="1" w:styleId="11">
    <w:name w:val="Заголовок №1_"/>
    <w:link w:val="12"/>
    <w:locked/>
    <w:rsid w:val="005E37D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5E37D9"/>
    <w:pPr>
      <w:shd w:val="clear" w:color="auto" w:fill="FFFFFF"/>
      <w:spacing w:line="320" w:lineRule="exact"/>
      <w:jc w:val="both"/>
      <w:outlineLvl w:val="0"/>
    </w:pPr>
    <w:rPr>
      <w:spacing w:val="10"/>
      <w:sz w:val="25"/>
      <w:szCs w:val="25"/>
      <w:lang w:eastAsia="en-US"/>
    </w:rPr>
  </w:style>
  <w:style w:type="character" w:customStyle="1" w:styleId="51">
    <w:name w:val="Основной текст (5)_"/>
    <w:link w:val="52"/>
    <w:locked/>
    <w:rsid w:val="005E37D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E37D9"/>
    <w:pPr>
      <w:shd w:val="clear" w:color="auto" w:fill="FFFFFF"/>
      <w:spacing w:after="60" w:line="0" w:lineRule="atLeast"/>
      <w:jc w:val="both"/>
    </w:pPr>
    <w:rPr>
      <w:spacing w:val="10"/>
      <w:sz w:val="25"/>
      <w:szCs w:val="25"/>
      <w:lang w:eastAsia="en-US"/>
    </w:rPr>
  </w:style>
  <w:style w:type="character" w:customStyle="1" w:styleId="61">
    <w:name w:val="Основной текст (6)_"/>
    <w:link w:val="62"/>
    <w:locked/>
    <w:rsid w:val="005E37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E37D9"/>
    <w:pPr>
      <w:shd w:val="clear" w:color="auto" w:fill="FFFFFF"/>
      <w:spacing w:before="300" w:line="320" w:lineRule="exact"/>
      <w:jc w:val="both"/>
    </w:pPr>
    <w:rPr>
      <w:sz w:val="26"/>
      <w:szCs w:val="26"/>
      <w:lang w:eastAsia="en-US"/>
    </w:rPr>
  </w:style>
  <w:style w:type="character" w:customStyle="1" w:styleId="120">
    <w:name w:val="Основной текст + 12"/>
    <w:aliases w:val="5 pt,Полужирный,Интервал 0 pt"/>
    <w:rsid w:val="005E37D9"/>
    <w:rPr>
      <w:rFonts w:ascii="Times New Roman" w:eastAsia="Times New Roman" w:hAnsi="Times New Roman" w:cs="Times New Roman" w:hint="default"/>
      <w:i/>
      <w:iCs/>
      <w:spacing w:val="0"/>
      <w:sz w:val="26"/>
      <w:szCs w:val="26"/>
      <w:shd w:val="clear" w:color="auto" w:fill="FFFFFF"/>
    </w:rPr>
  </w:style>
  <w:style w:type="character" w:customStyle="1" w:styleId="a4">
    <w:name w:val="Основной текст + Курсив"/>
    <w:rsid w:val="005E37D9"/>
    <w:rPr>
      <w:rFonts w:ascii="Times New Roman" w:eastAsia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aliases w:val="Курсив"/>
    <w:rsid w:val="005E37D9"/>
    <w:rPr>
      <w:rFonts w:ascii="Times New Roman" w:eastAsia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775E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header"/>
    <w:basedOn w:val="a"/>
    <w:link w:val="a7"/>
    <w:rsid w:val="00775EFA"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75EF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75EFA"/>
    <w:pPr>
      <w:jc w:val="both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775EF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a">
    <w:name w:val="page number"/>
    <w:basedOn w:val="a0"/>
    <w:rsid w:val="00DC2B90"/>
  </w:style>
  <w:style w:type="paragraph" w:styleId="2">
    <w:name w:val="Body Text 2"/>
    <w:basedOn w:val="a"/>
    <w:link w:val="20"/>
    <w:unhideWhenUsed/>
    <w:rsid w:val="005A04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0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DF4ADD"/>
    <w:pPr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b">
    <w:name w:val="Normal (Web)"/>
    <w:basedOn w:val="a"/>
    <w:uiPriority w:val="99"/>
    <w:rsid w:val="00B44502"/>
    <w:pPr>
      <w:spacing w:before="100" w:beforeAutospacing="1" w:after="100" w:afterAutospacing="1"/>
    </w:pPr>
    <w:rPr>
      <w:color w:val="9609BA"/>
    </w:rPr>
  </w:style>
  <w:style w:type="character" w:styleId="ac">
    <w:name w:val="Hyperlink"/>
    <w:rsid w:val="002C4EEB"/>
    <w:rPr>
      <w:color w:val="0000FF"/>
      <w:u w:val="single"/>
    </w:rPr>
  </w:style>
  <w:style w:type="paragraph" w:styleId="ad">
    <w:name w:val="No Spacing"/>
    <w:uiPriority w:val="1"/>
    <w:qFormat/>
    <w:rsid w:val="00D274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A">
    <w:name w:val="Body A"/>
    <w:rsid w:val="00ED2D6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FreeForm">
    <w:name w:val="Free Form"/>
    <w:rsid w:val="00ED2D6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Standard">
    <w:name w:val="Standard"/>
    <w:rsid w:val="00743AF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ormal1">
    <w:name w:val="Normal1"/>
    <w:uiPriority w:val="99"/>
    <w:rsid w:val="004437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unhideWhenUsed/>
    <w:rsid w:val="00886B23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886B23"/>
    <w:rPr>
      <w:rFonts w:ascii="Calibri" w:eastAsia="Calibri" w:hAnsi="Calibri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08383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38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2">
    <w:name w:val="Знак"/>
    <w:basedOn w:val="a"/>
    <w:autoRedefine/>
    <w:rsid w:val="002179C2"/>
    <w:pPr>
      <w:spacing w:after="160" w:line="360" w:lineRule="auto"/>
      <w:jc w:val="center"/>
    </w:pPr>
    <w:rPr>
      <w:rFonts w:ascii="Courier New" w:hAnsi="Courier New" w:cs="Courier New"/>
      <w:sz w:val="22"/>
      <w:szCs w:val="22"/>
    </w:rPr>
  </w:style>
  <w:style w:type="table" w:styleId="af3">
    <w:name w:val="Table Grid"/>
    <w:basedOn w:val="a1"/>
    <w:uiPriority w:val="59"/>
    <w:rsid w:val="00BC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v@kusum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ims@kusu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7F97-B3CE-4EA2-8C52-3C0CE578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Марал Туманчинова</cp:lastModifiedBy>
  <cp:revision>5</cp:revision>
  <cp:lastPrinted>2019-06-06T09:30:00Z</cp:lastPrinted>
  <dcterms:created xsi:type="dcterms:W3CDTF">2019-06-06T08:29:00Z</dcterms:created>
  <dcterms:modified xsi:type="dcterms:W3CDTF">2021-11-05T11:46:00Z</dcterms:modified>
</cp:coreProperties>
</file>